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w:t>
      </w:r>
      <w:r w:rsidR="005B68E3">
        <w:rPr>
          <w:rFonts w:ascii="Times New Roman" w:hAnsi="Times New Roman"/>
          <w:b/>
          <w:sz w:val="28"/>
          <w:szCs w:val="28"/>
        </w:rPr>
        <w:t>9</w:t>
      </w:r>
      <w:r w:rsidRPr="003A7368">
        <w:rPr>
          <w:rFonts w:ascii="Times New Roman" w:hAnsi="Times New Roman"/>
          <w:b/>
          <w:sz w:val="28"/>
          <w:szCs w:val="28"/>
          <w:lang w:val="kk-KZ"/>
        </w:rPr>
        <w:t xml:space="preserve"> жылға а</w:t>
      </w:r>
      <w:proofErr w:type="spellStart"/>
      <w:r w:rsidRPr="003A7368">
        <w:rPr>
          <w:rFonts w:ascii="Times New Roman" w:hAnsi="Times New Roman"/>
          <w:b/>
          <w:sz w:val="28"/>
          <w:szCs w:val="28"/>
        </w:rPr>
        <w:t>рналған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республикалық</w:t>
      </w:r>
      <w:proofErr w:type="spellEnd"/>
      <w:r w:rsidRPr="003A7368">
        <w:rPr>
          <w:rFonts w:ascii="Times New Roman" w:hAnsi="Times New Roman"/>
          <w:b/>
          <w:sz w:val="28"/>
          <w:szCs w:val="28"/>
        </w:rPr>
        <w:t xml:space="preserve"> бюджет </w:t>
      </w:r>
      <w:proofErr w:type="spellStart"/>
      <w:r w:rsidRPr="003A7368">
        <w:rPr>
          <w:rFonts w:ascii="Times New Roman" w:hAnsi="Times New Roman"/>
          <w:b/>
          <w:sz w:val="28"/>
          <w:szCs w:val="28"/>
        </w:rPr>
        <w:t>туралы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заңға</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с</w:t>
      </w:r>
      <w:proofErr w:type="spellStart"/>
      <w:r w:rsidRPr="003A7368">
        <w:rPr>
          <w:rFonts w:ascii="Times New Roman" w:hAnsi="Times New Roman"/>
          <w:b/>
          <w:sz w:val="28"/>
          <w:szCs w:val="28"/>
        </w:rPr>
        <w:t>әйкес</w:t>
      </w:r>
      <w:proofErr w:type="spellEnd"/>
      <w:r w:rsidRPr="003A7368">
        <w:rPr>
          <w:rFonts w:ascii="Times New Roman" w:hAnsi="Times New Roman"/>
          <w:b/>
          <w:sz w:val="28"/>
          <w:szCs w:val="28"/>
        </w:rPr>
        <w:t xml:space="preserve"> 1 </w:t>
      </w:r>
      <w:proofErr w:type="spellStart"/>
      <w:r w:rsidRPr="003A7368">
        <w:rPr>
          <w:rFonts w:ascii="Times New Roman" w:hAnsi="Times New Roman"/>
          <w:b/>
          <w:sz w:val="28"/>
          <w:szCs w:val="28"/>
        </w:rPr>
        <w:t>қаңтардан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бастап</w:t>
      </w:r>
      <w:proofErr w:type="spellEnd"/>
      <w:r w:rsidRPr="003A7368">
        <w:rPr>
          <w:rFonts w:ascii="Times New Roman" w:hAnsi="Times New Roman"/>
          <w:b/>
          <w:sz w:val="28"/>
          <w:szCs w:val="28"/>
        </w:rPr>
        <w:t xml:space="preserve"> 201</w:t>
      </w:r>
      <w:r w:rsidR="005B68E3">
        <w:rPr>
          <w:rFonts w:ascii="Times New Roman" w:hAnsi="Times New Roman"/>
          <w:b/>
          <w:sz w:val="28"/>
          <w:szCs w:val="28"/>
        </w:rPr>
        <w:t>9</w:t>
      </w:r>
      <w:r w:rsidRPr="003A7368">
        <w:rPr>
          <w:rFonts w:ascii="Times New Roman" w:hAnsi="Times New Roman"/>
          <w:b/>
          <w:sz w:val="28"/>
          <w:szCs w:val="28"/>
        </w:rPr>
        <w:t xml:space="preserve"> </w:t>
      </w:r>
      <w:proofErr w:type="spellStart"/>
      <w:r w:rsidRPr="003A7368">
        <w:rPr>
          <w:rFonts w:ascii="Times New Roman" w:hAnsi="Times New Roman"/>
          <w:b/>
          <w:sz w:val="28"/>
          <w:szCs w:val="28"/>
        </w:rPr>
        <w:t>жылғы</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w:t>
      </w:r>
      <w:proofErr w:type="spellStart"/>
      <w:r w:rsidRPr="003A7368">
        <w:rPr>
          <w:rFonts w:ascii="Times New Roman" w:hAnsi="Times New Roman"/>
          <w:b/>
          <w:sz w:val="28"/>
          <w:szCs w:val="28"/>
        </w:rPr>
        <w:t>ставкалары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белгіленеді</w:t>
      </w:r>
      <w:proofErr w:type="spellEnd"/>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5B68E3">
        <w:rPr>
          <w:rFonts w:ascii="Times New Roman" w:hAnsi="Times New Roman"/>
          <w:sz w:val="28"/>
          <w:szCs w:val="28"/>
          <w:lang w:val="kk-KZ"/>
        </w:rPr>
        <w:t>42</w:t>
      </w:r>
      <w:r w:rsidRPr="00E810E1">
        <w:rPr>
          <w:rFonts w:ascii="Times New Roman" w:hAnsi="Times New Roman"/>
          <w:sz w:val="28"/>
          <w:szCs w:val="28"/>
          <w:lang w:val="kk-KZ"/>
        </w:rPr>
        <w:t xml:space="preserve"> </w:t>
      </w:r>
      <w:r w:rsidR="005B68E3">
        <w:rPr>
          <w:rFonts w:ascii="Times New Roman" w:hAnsi="Times New Roman"/>
          <w:sz w:val="28"/>
          <w:szCs w:val="28"/>
          <w:lang w:val="kk-KZ"/>
        </w:rPr>
        <w:t>500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2) мемлекеттік базалық зейнетақы төлемінің ең төмен мөлшері – 16 037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3) зейнетақының ең төмен мөлшерi – 36 108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w:t>
      </w:r>
      <w:r>
        <w:rPr>
          <w:rFonts w:ascii="Times New Roman" w:hAnsi="Times New Roman"/>
          <w:sz w:val="28"/>
          <w:szCs w:val="28"/>
          <w:lang w:val="kk-KZ"/>
        </w:rPr>
        <w:t> </w:t>
      </w:r>
      <w:r w:rsidRPr="005B68E3">
        <w:rPr>
          <w:rFonts w:ascii="Times New Roman" w:hAnsi="Times New Roman"/>
          <w:sz w:val="28"/>
          <w:szCs w:val="28"/>
          <w:lang w:val="kk-KZ"/>
        </w:rPr>
        <w:t>525</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базалық әлеуметтiк төлемдердiң мөлшерлерiн есептеу үшiн ең төмен күнкөрiс деңгейiнiң шамасы – 29 698</w:t>
      </w:r>
      <w:r w:rsidR="00E810E1" w:rsidRPr="00E810E1">
        <w:rPr>
          <w:rFonts w:ascii="Times New Roman" w:hAnsi="Times New Roman"/>
          <w:sz w:val="28"/>
          <w:szCs w:val="28"/>
          <w:lang w:val="kk-KZ"/>
        </w:rPr>
        <w:t xml:space="preserve">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A514F" w:rsidP="00A27C5D">
      <w:pPr>
        <w:pStyle w:val="a9"/>
        <w:ind w:firstLine="720"/>
        <w:rPr>
          <w:rFonts w:ascii="Times New Roman" w:hAnsi="Times New Roman"/>
          <w:b w:val="0"/>
          <w:szCs w:val="28"/>
          <w:lang w:val="kk-KZ"/>
        </w:rPr>
      </w:pPr>
      <w:r>
        <w:rPr>
          <w:rFonts w:ascii="Times New Roman" w:hAnsi="Times New Roman"/>
          <w:b w:val="0"/>
          <w:szCs w:val="28"/>
          <w:lang w:val="kk-KZ"/>
        </w:rPr>
        <w:t>2019</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1321D0">
        <w:rPr>
          <w:rFonts w:ascii="Times New Roman" w:hAnsi="Times New Roman"/>
          <w:b w:val="0"/>
          <w:szCs w:val="28"/>
          <w:lang w:val="kk-KZ"/>
        </w:rPr>
        <w:t>34 242,3</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1321D0">
        <w:rPr>
          <w:rFonts w:ascii="Times New Roman" w:hAnsi="Times New Roman"/>
          <w:b w:val="0"/>
          <w:szCs w:val="28"/>
          <w:lang w:val="kk-KZ"/>
        </w:rPr>
        <w:t>13 251,7</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r w:rsidR="00B94D1D">
        <w:rPr>
          <w:rFonts w:ascii="Times New Roman" w:hAnsi="Times New Roman"/>
          <w:b w:val="0"/>
          <w:szCs w:val="28"/>
          <w:lang w:val="kk-KZ"/>
        </w:rPr>
        <w:t xml:space="preserve"> </w:t>
      </w:r>
      <w:r w:rsidR="001321D0">
        <w:rPr>
          <w:rFonts w:ascii="Times New Roman" w:hAnsi="Times New Roman"/>
          <w:b w:val="0"/>
          <w:szCs w:val="28"/>
          <w:lang w:val="kk-KZ"/>
        </w:rPr>
        <w:t>20 990,6</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және облыстық бюджеттен </w:t>
      </w:r>
      <w:r w:rsidR="0078660D">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Pr>
          <w:rFonts w:ascii="Times New Roman" w:hAnsi="Times New Roman"/>
          <w:b w:val="0"/>
          <w:szCs w:val="28"/>
          <w:lang w:val="kk-KZ"/>
        </w:rPr>
        <w:t>1 573,9</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4845AC">
        <w:rPr>
          <w:rFonts w:ascii="Times New Roman" w:hAnsi="Times New Roman"/>
          <w:b w:val="0"/>
          <w:szCs w:val="28"/>
          <w:lang w:val="kk-KZ"/>
        </w:rPr>
        <w:t>35</w:t>
      </w:r>
      <w:r w:rsidR="001321D0">
        <w:rPr>
          <w:rFonts w:ascii="Times New Roman" w:hAnsi="Times New Roman"/>
          <w:b w:val="0"/>
          <w:szCs w:val="28"/>
          <w:lang w:val="kk-KZ"/>
        </w:rPr>
        <w:t> 384,1</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sidR="0078660D" w:rsidRPr="00E810E1">
        <w:rPr>
          <w:rFonts w:ascii="Times New Roman" w:hAnsi="Times New Roman"/>
          <w:b w:val="0"/>
          <w:szCs w:val="28"/>
          <w:lang w:val="kk-KZ"/>
        </w:rPr>
        <w:t>201</w:t>
      </w:r>
      <w:r>
        <w:rPr>
          <w:rFonts w:ascii="Times New Roman" w:hAnsi="Times New Roman"/>
          <w:b w:val="0"/>
          <w:szCs w:val="28"/>
          <w:lang w:val="kk-KZ"/>
        </w:rPr>
        <w:t>9</w:t>
      </w:r>
      <w:r w:rsidR="0078660D" w:rsidRPr="00E810E1">
        <w:rPr>
          <w:rFonts w:ascii="Times New Roman" w:hAnsi="Times New Roman"/>
          <w:b w:val="0"/>
          <w:szCs w:val="28"/>
          <w:lang w:val="kk-KZ"/>
        </w:rPr>
        <w:t>-202</w:t>
      </w:r>
      <w:r>
        <w:rPr>
          <w:rFonts w:ascii="Times New Roman" w:hAnsi="Times New Roman"/>
          <w:b w:val="0"/>
          <w:szCs w:val="28"/>
          <w:lang w:val="kk-KZ"/>
        </w:rPr>
        <w:t>1</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 бюджет 201</w:t>
      </w:r>
      <w:r>
        <w:rPr>
          <w:rFonts w:ascii="Times New Roman" w:hAnsi="Times New Roman"/>
          <w:b w:val="0"/>
          <w:szCs w:val="28"/>
          <w:lang w:val="kk-KZ"/>
        </w:rPr>
        <w:t>8</w:t>
      </w:r>
      <w:r w:rsidR="0078660D">
        <w:rPr>
          <w:rFonts w:ascii="Times New Roman" w:hAnsi="Times New Roman"/>
          <w:b w:val="0"/>
          <w:szCs w:val="28"/>
          <w:lang w:val="kk-KZ"/>
        </w:rPr>
        <w:t xml:space="preserve"> жылы </w:t>
      </w:r>
      <w:r>
        <w:rPr>
          <w:rFonts w:ascii="Times New Roman" w:hAnsi="Times New Roman"/>
          <w:b w:val="0"/>
          <w:szCs w:val="28"/>
          <w:lang w:val="kk-KZ"/>
        </w:rPr>
        <w:t>21</w:t>
      </w:r>
      <w:r w:rsidR="0078660D">
        <w:rPr>
          <w:rFonts w:ascii="Times New Roman" w:hAnsi="Times New Roman"/>
          <w:b w:val="0"/>
          <w:szCs w:val="28"/>
          <w:lang w:val="kk-KZ"/>
        </w:rPr>
        <w:t xml:space="preserve"> желтоқсанда</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 xml:space="preserve">Көкшетау қалалық мәслихатының </w:t>
      </w:r>
      <w:r>
        <w:rPr>
          <w:rFonts w:ascii="Times New Roman" w:hAnsi="Times New Roman"/>
          <w:b w:val="0"/>
          <w:szCs w:val="28"/>
          <w:lang w:val="kk-KZ"/>
        </w:rPr>
        <w:t>сессиясы №С-26</w:t>
      </w:r>
      <w:r w:rsidR="00E810E1" w:rsidRPr="00E810E1">
        <w:rPr>
          <w:rFonts w:ascii="Times New Roman" w:hAnsi="Times New Roman"/>
          <w:b w:val="0"/>
          <w:szCs w:val="28"/>
          <w:lang w:val="kk-KZ"/>
        </w:rPr>
        <w:t>/</w:t>
      </w:r>
      <w:r>
        <w:rPr>
          <w:rFonts w:ascii="Times New Roman" w:hAnsi="Times New Roman"/>
          <w:b w:val="0"/>
          <w:szCs w:val="28"/>
          <w:lang w:val="kk-KZ"/>
        </w:rPr>
        <w:t>6</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sidR="00CE534F">
        <w:rPr>
          <w:rFonts w:ascii="Times New Roman" w:hAnsi="Times New Roman"/>
          <w:b w:val="0"/>
          <w:szCs w:val="28"/>
          <w:lang w:val="kk-KZ"/>
        </w:rPr>
        <w:t xml:space="preserve">, </w:t>
      </w:r>
      <w:r w:rsidR="001321D0">
        <w:rPr>
          <w:rFonts w:ascii="Times New Roman" w:hAnsi="Times New Roman"/>
          <w:b w:val="0"/>
          <w:szCs w:val="28"/>
          <w:lang w:val="kk-KZ"/>
        </w:rPr>
        <w:t>3</w:t>
      </w:r>
      <w:r w:rsidR="00CE534F">
        <w:rPr>
          <w:rFonts w:ascii="Times New Roman" w:hAnsi="Times New Roman"/>
          <w:b w:val="0"/>
          <w:szCs w:val="28"/>
          <w:lang w:val="kk-KZ"/>
        </w:rPr>
        <w:t xml:space="preserve"> рет нақтыланды </w:t>
      </w:r>
      <w:r w:rsidR="00CE534F" w:rsidRPr="00CE534F">
        <w:rPr>
          <w:rFonts w:ascii="Times New Roman" w:hAnsi="Times New Roman"/>
          <w:b w:val="0"/>
          <w:i/>
          <w:szCs w:val="28"/>
          <w:lang w:val="kk-KZ"/>
        </w:rPr>
        <w:t>(Көкшетау қалалық мәслихатының 2019 жылғы 28.03. №С-30/2</w:t>
      </w:r>
      <w:r w:rsidR="004845AC">
        <w:rPr>
          <w:rFonts w:ascii="Times New Roman" w:hAnsi="Times New Roman"/>
          <w:b w:val="0"/>
          <w:i/>
          <w:szCs w:val="28"/>
          <w:lang w:val="kk-KZ"/>
        </w:rPr>
        <w:t>, 2019 жылғы 19.06. №С-34/13</w:t>
      </w:r>
      <w:r w:rsidR="001321D0">
        <w:rPr>
          <w:rFonts w:ascii="Times New Roman" w:hAnsi="Times New Roman"/>
          <w:b w:val="0"/>
          <w:i/>
          <w:szCs w:val="28"/>
          <w:lang w:val="kk-KZ"/>
        </w:rPr>
        <w:t>, 2019 жылғы 28.08. №С-36/2</w:t>
      </w:r>
      <w:r w:rsidR="00CE534F" w:rsidRPr="00CE534F">
        <w:rPr>
          <w:rFonts w:ascii="Times New Roman" w:hAnsi="Times New Roman"/>
          <w:b w:val="0"/>
          <w:i/>
          <w:szCs w:val="28"/>
          <w:lang w:val="kk-KZ"/>
        </w:rPr>
        <w:t xml:space="preserve"> сессия шешімімен).</w:t>
      </w:r>
      <w:r w:rsidR="00B94D1D">
        <w:rPr>
          <w:rFonts w:ascii="Times New Roman" w:hAnsi="Times New Roman"/>
          <w:b w:val="0"/>
          <w:szCs w:val="28"/>
          <w:lang w:val="kk-KZ"/>
        </w:rPr>
        <w:t xml:space="preserve">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1321D0"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2018</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2019</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Pr>
                <w:rFonts w:ascii="Times New Roman" w:eastAsia="Times New Roman" w:hAnsi="Times New Roman"/>
                <w:b/>
                <w:sz w:val="24"/>
                <w:szCs w:val="24"/>
                <w:lang w:val="kk-KZ" w:eastAsia="ru-RU"/>
              </w:rPr>
              <w:t>20</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Pr>
                <w:rFonts w:ascii="Times New Roman" w:eastAsia="Times New Roman" w:hAnsi="Times New Roman"/>
                <w:b/>
                <w:sz w:val="24"/>
                <w:szCs w:val="24"/>
                <w:lang w:val="kk-KZ" w:eastAsia="ru-RU"/>
              </w:rPr>
              <w:t>1</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32 677,2</w:t>
            </w:r>
          </w:p>
        </w:tc>
        <w:tc>
          <w:tcPr>
            <w:tcW w:w="1439" w:type="dxa"/>
            <w:shd w:val="clear" w:color="auto" w:fill="92D050"/>
            <w:vAlign w:val="center"/>
          </w:tcPr>
          <w:p w:rsidR="009614EB" w:rsidRPr="0045517D" w:rsidRDefault="001321D0" w:rsidP="00CE534F">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34 242,3</w:t>
            </w:r>
          </w:p>
        </w:tc>
        <w:tc>
          <w:tcPr>
            <w:tcW w:w="1287" w:type="dxa"/>
            <w:shd w:val="clear" w:color="auto" w:fill="92D050"/>
          </w:tcPr>
          <w:p w:rsidR="009614EB" w:rsidRPr="009E48FF" w:rsidRDefault="001321D0"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29 044,3</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23 777,3</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Pr="007A514F"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20 461,3</w:t>
            </w:r>
          </w:p>
        </w:tc>
        <w:tc>
          <w:tcPr>
            <w:tcW w:w="1439" w:type="dxa"/>
            <w:shd w:val="clear" w:color="auto" w:fill="auto"/>
            <w:vAlign w:val="center"/>
          </w:tcPr>
          <w:p w:rsidR="009614EB" w:rsidRPr="0049478E" w:rsidRDefault="001321D0"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20 238,1</w:t>
            </w:r>
          </w:p>
        </w:tc>
        <w:tc>
          <w:tcPr>
            <w:tcW w:w="1287" w:type="dxa"/>
          </w:tcPr>
          <w:p w:rsidR="009614EB" w:rsidRPr="009C3D5D" w:rsidRDefault="001321D0"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98,9</w:t>
            </w:r>
          </w:p>
        </w:tc>
        <w:tc>
          <w:tcPr>
            <w:tcW w:w="1181" w:type="dxa"/>
            <w:shd w:val="clear" w:color="auto" w:fill="auto"/>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22 279,5</w:t>
            </w:r>
          </w:p>
        </w:tc>
        <w:tc>
          <w:tcPr>
            <w:tcW w:w="1180" w:type="dxa"/>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22 692,1</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Pr="007A514F"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113,5</w:t>
            </w:r>
          </w:p>
        </w:tc>
        <w:tc>
          <w:tcPr>
            <w:tcW w:w="1439" w:type="dxa"/>
            <w:shd w:val="clear" w:color="auto" w:fill="auto"/>
            <w:vAlign w:val="center"/>
          </w:tcPr>
          <w:p w:rsidR="009614EB" w:rsidRPr="0049478E" w:rsidRDefault="004845AC"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128,5</w:t>
            </w:r>
          </w:p>
        </w:tc>
        <w:tc>
          <w:tcPr>
            <w:tcW w:w="1287" w:type="dxa"/>
          </w:tcPr>
          <w:p w:rsidR="009614EB" w:rsidRPr="009C3D5D" w:rsidRDefault="004845AC"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113,2</w:t>
            </w:r>
          </w:p>
        </w:tc>
        <w:tc>
          <w:tcPr>
            <w:tcW w:w="1181" w:type="dxa"/>
            <w:shd w:val="clear" w:color="auto" w:fill="auto"/>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126,1</w:t>
            </w:r>
          </w:p>
        </w:tc>
        <w:tc>
          <w:tcPr>
            <w:tcW w:w="1180" w:type="dxa"/>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131,5</w:t>
            </w:r>
          </w:p>
        </w:tc>
      </w:tr>
      <w:tr w:rsidR="007A514F" w:rsidRPr="006D2661" w:rsidTr="0045517D">
        <w:trPr>
          <w:trHeight w:val="375"/>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A514F" w:rsidRPr="001C1D55"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1 378,6</w:t>
            </w:r>
          </w:p>
        </w:tc>
        <w:tc>
          <w:tcPr>
            <w:tcW w:w="1439" w:type="dxa"/>
            <w:shd w:val="clear" w:color="auto" w:fill="auto"/>
            <w:vAlign w:val="center"/>
          </w:tcPr>
          <w:p w:rsidR="007A514F" w:rsidRPr="001C1D55" w:rsidRDefault="00CE53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624</w:t>
            </w:r>
          </w:p>
        </w:tc>
        <w:tc>
          <w:tcPr>
            <w:tcW w:w="1287" w:type="dxa"/>
            <w:vAlign w:val="center"/>
          </w:tcPr>
          <w:p w:rsidR="007A514F" w:rsidRPr="009C3D5D" w:rsidRDefault="00CE53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45,3</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1692,1</w:t>
            </w:r>
          </w:p>
        </w:tc>
        <w:tc>
          <w:tcPr>
            <w:tcW w:w="1180" w:type="dxa"/>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397,5</w:t>
            </w:r>
          </w:p>
        </w:tc>
      </w:tr>
      <w:tr w:rsidR="007A514F" w:rsidRPr="006D2661" w:rsidTr="009E48FF">
        <w:trPr>
          <w:trHeight w:val="258"/>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vAlign w:val="center"/>
          </w:tcPr>
          <w:p w:rsidR="007A514F" w:rsidRPr="001C1D55"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10 723,8</w:t>
            </w:r>
          </w:p>
        </w:tc>
        <w:tc>
          <w:tcPr>
            <w:tcW w:w="1439" w:type="dxa"/>
            <w:shd w:val="clear" w:color="auto" w:fill="auto"/>
            <w:vAlign w:val="center"/>
          </w:tcPr>
          <w:p w:rsidR="007A514F" w:rsidRPr="001C1D55" w:rsidRDefault="001321D0"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13 251,7</w:t>
            </w:r>
          </w:p>
        </w:tc>
        <w:tc>
          <w:tcPr>
            <w:tcW w:w="1287" w:type="dxa"/>
          </w:tcPr>
          <w:p w:rsidR="007A514F" w:rsidRPr="009C3D5D" w:rsidRDefault="001321D0" w:rsidP="00E433D4">
            <w:pPr>
              <w:spacing w:after="0" w:line="240" w:lineRule="auto"/>
              <w:jc w:val="center"/>
              <w:rPr>
                <w:rFonts w:ascii="Times New Roman" w:eastAsia="Times New Roman" w:hAnsi="Times New Roman"/>
                <w:sz w:val="24"/>
                <w:szCs w:val="24"/>
                <w:lang w:val="kk-KZ" w:eastAsia="ru-RU"/>
              </w:rPr>
            </w:pPr>
            <w:bookmarkStart w:id="0" w:name="_GoBack"/>
            <w:bookmarkEnd w:id="0"/>
            <w:r>
              <w:rPr>
                <w:rFonts w:ascii="Times New Roman" w:eastAsia="Times New Roman" w:hAnsi="Times New Roman"/>
                <w:sz w:val="24"/>
                <w:szCs w:val="24"/>
                <w:lang w:val="kk-KZ" w:eastAsia="ru-RU"/>
              </w:rPr>
              <w:t>123,6</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4 946,6</w:t>
            </w:r>
          </w:p>
        </w:tc>
        <w:tc>
          <w:tcPr>
            <w:tcW w:w="1180" w:type="dxa"/>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556,1</w:t>
            </w: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облыстық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алынатын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A514F" w:rsidRPr="001C1D55" w:rsidRDefault="007A514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7406,7</w:t>
            </w:r>
          </w:p>
        </w:tc>
        <w:tc>
          <w:tcPr>
            <w:tcW w:w="1439" w:type="dxa"/>
            <w:shd w:val="clear" w:color="auto" w:fill="auto"/>
            <w:vAlign w:val="center"/>
          </w:tcPr>
          <w:p w:rsidR="007A514F" w:rsidRPr="001C1D55" w:rsidRDefault="001321D0"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6 567</w:t>
            </w:r>
          </w:p>
        </w:tc>
        <w:tc>
          <w:tcPr>
            <w:tcW w:w="1287" w:type="dxa"/>
            <w:vAlign w:val="center"/>
          </w:tcPr>
          <w:p w:rsidR="007A514F" w:rsidRPr="009C3D5D" w:rsidRDefault="001321D0"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88,7</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347,7</w:t>
            </w:r>
          </w:p>
        </w:tc>
        <w:tc>
          <w:tcPr>
            <w:tcW w:w="1180" w:type="dxa"/>
            <w:vAlign w:val="center"/>
          </w:tcPr>
          <w:p w:rsidR="007A514F" w:rsidRPr="0016233D" w:rsidRDefault="007A514F" w:rsidP="00E433D4">
            <w:pPr>
              <w:spacing w:after="0" w:line="240" w:lineRule="auto"/>
              <w:jc w:val="center"/>
              <w:rPr>
                <w:rFonts w:ascii="Times New Roman" w:eastAsia="Times New Roman" w:hAnsi="Times New Roman"/>
                <w:i/>
                <w:sz w:val="24"/>
                <w:szCs w:val="24"/>
                <w:lang w:eastAsia="ru-RU"/>
              </w:rPr>
            </w:pP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республикалық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алынатын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A514F" w:rsidRPr="009C3D5D" w:rsidRDefault="007A514F" w:rsidP="00E433D4">
            <w:pPr>
              <w:spacing w:after="0" w:line="240" w:lineRule="auto"/>
              <w:jc w:val="center"/>
              <w:rPr>
                <w:rFonts w:ascii="Times New Roman" w:eastAsia="Times New Roman" w:hAnsi="Times New Roman"/>
                <w:i/>
                <w:sz w:val="24"/>
                <w:szCs w:val="24"/>
                <w:lang w:val="kk-KZ" w:eastAsia="ru-RU"/>
              </w:rPr>
            </w:pPr>
            <w:r>
              <w:rPr>
                <w:rFonts w:ascii="Times New Roman" w:hAnsi="Times New Roman"/>
                <w:i/>
                <w:iCs/>
                <w:sz w:val="24"/>
                <w:szCs w:val="24"/>
                <w:lang w:val="kk-KZ" w:eastAsia="ru-RU"/>
              </w:rPr>
              <w:t>3317,1</w:t>
            </w:r>
          </w:p>
        </w:tc>
        <w:tc>
          <w:tcPr>
            <w:tcW w:w="1439" w:type="dxa"/>
            <w:shd w:val="clear" w:color="auto" w:fill="auto"/>
            <w:vAlign w:val="center"/>
          </w:tcPr>
          <w:p w:rsidR="007A514F" w:rsidRPr="009C3D5D" w:rsidRDefault="001321D0"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6 684,7</w:t>
            </w:r>
          </w:p>
        </w:tc>
        <w:tc>
          <w:tcPr>
            <w:tcW w:w="1287" w:type="dxa"/>
            <w:vAlign w:val="center"/>
          </w:tcPr>
          <w:p w:rsidR="007A514F" w:rsidRPr="009C3D5D" w:rsidRDefault="001321D0"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201,5</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4 598,9</w:t>
            </w:r>
          </w:p>
        </w:tc>
        <w:tc>
          <w:tcPr>
            <w:tcW w:w="1180" w:type="dxa"/>
            <w:vAlign w:val="center"/>
          </w:tcPr>
          <w:p w:rsidR="007A514F" w:rsidRPr="009E48FF" w:rsidRDefault="009E48F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556,1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33 331,6</w:t>
            </w:r>
          </w:p>
        </w:tc>
        <w:tc>
          <w:tcPr>
            <w:tcW w:w="1439" w:type="dxa"/>
            <w:shd w:val="clear" w:color="auto" w:fill="92D050"/>
            <w:vAlign w:val="center"/>
          </w:tcPr>
          <w:p w:rsidR="009614EB" w:rsidRPr="001C1D55" w:rsidRDefault="001321D0" w:rsidP="00CE53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35 384,1</w:t>
            </w:r>
          </w:p>
        </w:tc>
        <w:tc>
          <w:tcPr>
            <w:tcW w:w="1287" w:type="dxa"/>
            <w:shd w:val="clear" w:color="auto" w:fill="92D050"/>
          </w:tcPr>
          <w:p w:rsidR="009614EB" w:rsidRPr="009E48FF" w:rsidRDefault="001321D0"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106,2</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27 724,7</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23 757,1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бюджеттік</w:t>
            </w:r>
            <w:proofErr w:type="spell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114,9</w:t>
            </w:r>
          </w:p>
        </w:tc>
        <w:tc>
          <w:tcPr>
            <w:tcW w:w="1439" w:type="dxa"/>
            <w:shd w:val="clear" w:color="auto" w:fill="92D050"/>
            <w:vAlign w:val="center"/>
          </w:tcPr>
          <w:p w:rsidR="009614EB" w:rsidRPr="001C1D55"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-137,4</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lastRenderedPageBreak/>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126,3</w:t>
            </w:r>
          </w:p>
        </w:tc>
        <w:tc>
          <w:tcPr>
            <w:tcW w:w="1439" w:type="dxa"/>
            <w:shd w:val="clear" w:color="auto" w:fill="auto"/>
            <w:vAlign w:val="center"/>
          </w:tcPr>
          <w:p w:rsidR="009614EB" w:rsidRPr="0045517D" w:rsidRDefault="007A514F"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110,6</w:t>
            </w:r>
          </w:p>
        </w:tc>
        <w:tc>
          <w:tcPr>
            <w:tcW w:w="1287" w:type="dxa"/>
          </w:tcPr>
          <w:p w:rsidR="009614EB"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87,6</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11,9</w:t>
            </w:r>
          </w:p>
        </w:tc>
        <w:tc>
          <w:tcPr>
            <w:tcW w:w="1439" w:type="dxa"/>
            <w:shd w:val="clear" w:color="auto" w:fill="auto"/>
            <w:vAlign w:val="center"/>
          </w:tcPr>
          <w:p w:rsidR="009614EB"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248,0</w:t>
            </w:r>
          </w:p>
        </w:tc>
        <w:tc>
          <w:tcPr>
            <w:tcW w:w="1287" w:type="dxa"/>
          </w:tcPr>
          <w:p w:rsidR="009614EB" w:rsidRPr="009C3D5D" w:rsidRDefault="009614EB" w:rsidP="00A27C5D">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439" w:type="dxa"/>
            <w:shd w:val="clear" w:color="auto" w:fill="92D050"/>
            <w:vAlign w:val="center"/>
          </w:tcPr>
          <w:p w:rsidR="009614EB" w:rsidRPr="007A514F" w:rsidRDefault="004845AC"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293,1</w:t>
            </w:r>
          </w:p>
        </w:tc>
        <w:tc>
          <w:tcPr>
            <w:tcW w:w="1287" w:type="dxa"/>
            <w:shd w:val="clear" w:color="auto" w:fill="92D050"/>
          </w:tcPr>
          <w:p w:rsidR="009E48FF" w:rsidRDefault="009E48FF" w:rsidP="00A27C5D">
            <w:pPr>
              <w:spacing w:after="0" w:line="240" w:lineRule="auto"/>
              <w:jc w:val="center"/>
              <w:rPr>
                <w:rFonts w:ascii="Times New Roman" w:eastAsia="Times New Roman" w:hAnsi="Times New Roman"/>
                <w:b/>
                <w:i/>
                <w:sz w:val="24"/>
                <w:szCs w:val="24"/>
                <w:lang w:val="kk-KZ" w:eastAsia="ru-RU"/>
              </w:rPr>
            </w:pPr>
          </w:p>
          <w:p w:rsidR="00A34472"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279,9</w:t>
            </w:r>
          </w:p>
        </w:tc>
        <w:tc>
          <w:tcPr>
            <w:tcW w:w="1439" w:type="dxa"/>
            <w:shd w:val="clear" w:color="auto" w:fill="auto"/>
            <w:vAlign w:val="center"/>
          </w:tcPr>
          <w:p w:rsidR="009614EB" w:rsidRPr="009C3D5D"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293,1</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787C6A" w:rsidRDefault="009614EB" w:rsidP="00CE534F">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sidR="004845AC">
              <w:rPr>
                <w:rFonts w:ascii="Times New Roman" w:eastAsia="Times New Roman" w:hAnsi="Times New Roman"/>
                <w:b/>
                <w:i/>
                <w:sz w:val="24"/>
                <w:szCs w:val="24"/>
                <w:lang w:val="kk-KZ" w:eastAsia="ru-RU"/>
              </w:rPr>
              <w:t>1297,4</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9614EB" w:rsidP="007A51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sidR="007A514F">
              <w:rPr>
                <w:rFonts w:ascii="Times New Roman" w:eastAsia="Times New Roman" w:hAnsi="Times New Roman"/>
                <w:b/>
                <w:i/>
                <w:sz w:val="24"/>
                <w:szCs w:val="24"/>
                <w:lang w:val="kk-KZ" w:eastAsia="ru-RU"/>
              </w:rPr>
              <w:t>19,6</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1C1D55" w:rsidRDefault="004845AC"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1297,4</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19,6</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1425,8</w:t>
            </w:r>
          </w:p>
        </w:tc>
        <w:tc>
          <w:tcPr>
            <w:tcW w:w="1439" w:type="dxa"/>
            <w:shd w:val="clear" w:color="auto" w:fill="auto"/>
            <w:vAlign w:val="center"/>
          </w:tcPr>
          <w:p w:rsidR="009614EB" w:rsidRPr="001C1D55"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1773,9</w:t>
            </w:r>
          </w:p>
        </w:tc>
        <w:tc>
          <w:tcPr>
            <w:tcW w:w="1287" w:type="dxa"/>
          </w:tcPr>
          <w:p w:rsidR="009614EB" w:rsidRPr="009C3D5D"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124,4</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7A514F" w:rsidRDefault="009614EB" w:rsidP="00A27C5D">
            <w:pPr>
              <w:spacing w:after="0" w:line="240" w:lineRule="auto"/>
              <w:jc w:val="center"/>
              <w:rPr>
                <w:rFonts w:ascii="Times New Roman" w:eastAsia="Times New Roman" w:hAnsi="Times New Roman"/>
                <w:sz w:val="24"/>
                <w:szCs w:val="24"/>
                <w:lang w:val="kk-KZ" w:eastAsia="ru-RU"/>
              </w:rPr>
            </w:pP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1270,8</w:t>
            </w:r>
          </w:p>
        </w:tc>
        <w:tc>
          <w:tcPr>
            <w:tcW w:w="1439" w:type="dxa"/>
            <w:shd w:val="clear" w:color="auto" w:fill="auto"/>
            <w:vAlign w:val="center"/>
          </w:tcPr>
          <w:p w:rsidR="009614EB"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658,2</w:t>
            </w:r>
          </w:p>
        </w:tc>
        <w:tc>
          <w:tcPr>
            <w:tcW w:w="1287" w:type="dxa"/>
          </w:tcPr>
          <w:p w:rsidR="009614EB" w:rsidRPr="009C3D5D" w:rsidRDefault="009614EB" w:rsidP="00AC7124">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1319,6</w:t>
            </w:r>
          </w:p>
        </w:tc>
        <w:tc>
          <w:tcPr>
            <w:tcW w:w="1180" w:type="dxa"/>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19,6</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t xml:space="preserve"> </w:t>
      </w:r>
      <w:r w:rsidR="00B65687" w:rsidRPr="00B65687">
        <w:rPr>
          <w:rFonts w:ascii="Times New Roman" w:eastAsia="Times New Roman" w:hAnsi="Times New Roman"/>
          <w:noProof/>
          <w:sz w:val="28"/>
          <w:szCs w:val="28"/>
          <w:lang w:eastAsia="ru-RU"/>
        </w:rPr>
        <w:drawing>
          <wp:inline distT="0" distB="0" distL="0" distR="0" wp14:anchorId="79927D19" wp14:editId="03D61DCC">
            <wp:extent cx="6261099" cy="4695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68525" cy="4701394"/>
                    </a:xfrm>
                    <a:prstGeom prst="rect">
                      <a:avLst/>
                    </a:prstGeom>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lastRenderedPageBreak/>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9E48FF"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2019</w:t>
      </w:r>
      <w:r w:rsidR="008707B7">
        <w:rPr>
          <w:rFonts w:ascii="Times New Roman" w:hAnsi="Times New Roman"/>
          <w:b/>
          <w:sz w:val="28"/>
          <w:szCs w:val="28"/>
          <w:lang w:val="kk-KZ"/>
        </w:rPr>
        <w:t xml:space="preserve">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E48FF"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2019-2021</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985B78"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sidR="00985B78">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E48FF"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2019-2021</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анықталған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млн.те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9E48FF" w:rsidP="00A27C5D">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CE534F">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35 384,1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27 724,7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23 757,7</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799,1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328,6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319,5</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1288,1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30,8</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126,6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139,6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143,5</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Білім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11 062,3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10 331,2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8 783,1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көмек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қамтамасыз</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1 878,8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1 040,5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1 056,8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Тұрғын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8 656,5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6 608,9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3 932,8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lastRenderedPageBreak/>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кеңістік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458,9</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proofErr w:type="spellStart"/>
            <w:r w:rsidRPr="003A7B05">
              <w:rPr>
                <w:rFonts w:ascii="Times New Roman" w:hAnsi="Times New Roman"/>
                <w:color w:val="000000"/>
                <w:sz w:val="23"/>
                <w:szCs w:val="23"/>
              </w:rPr>
              <w:t>Отын</w:t>
            </w:r>
            <w:proofErr w:type="spellEnd"/>
            <w:r w:rsidRPr="003A7B05">
              <w:rPr>
                <w:rFonts w:ascii="Times New Roman" w:hAnsi="Times New Roman"/>
                <w:color w:val="000000"/>
                <w:sz w:val="23"/>
                <w:szCs w:val="23"/>
              </w:rPr>
              <w:t xml:space="preserve">-энергетика </w:t>
            </w:r>
            <w:proofErr w:type="spellStart"/>
            <w:r w:rsidRPr="003A7B05">
              <w:rPr>
                <w:rFonts w:ascii="Times New Roman" w:hAnsi="Times New Roman"/>
                <w:color w:val="000000"/>
                <w:sz w:val="23"/>
                <w:szCs w:val="23"/>
              </w:rPr>
              <w:t>кешенi</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және</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жер</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қойнауын</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1321D0"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Default="003A7B05"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3A7B05"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E463B"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73,2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74,4</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Өнеркәсіп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91,7</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Көлік</w:t>
            </w:r>
            <w:proofErr w:type="spell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2 188,0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637,7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553,8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іске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асыруға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арналған</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шығыстар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бизнестің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Жол</w:t>
            </w:r>
            <w:proofErr w:type="spellEnd"/>
            <w:r w:rsidRPr="002B2080">
              <w:rPr>
                <w:rFonts w:ascii="Times New Roman" w:hAnsi="Times New Roman"/>
                <w:color w:val="000000"/>
                <w:sz w:val="23"/>
                <w:szCs w:val="23"/>
              </w:rPr>
              <w:t xml:space="preserve"> картасы-2020, </w:t>
            </w:r>
            <w:proofErr w:type="spellStart"/>
            <w:r w:rsidRPr="002B2080">
              <w:rPr>
                <w:rFonts w:ascii="Times New Roman" w:hAnsi="Times New Roman"/>
                <w:color w:val="000000"/>
                <w:sz w:val="23"/>
                <w:szCs w:val="23"/>
              </w:rPr>
              <w:t>шаралар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жәрдемдесу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бағдарламасы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1321D0" w:rsidP="009C3D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Борышына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E463B"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E48FF"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w:t>
            </w:r>
            <w:r w:rsidR="004E463B">
              <w:rPr>
                <w:rFonts w:ascii="Times New Roman" w:hAnsi="Times New Roman"/>
                <w:color w:val="000000"/>
                <w:sz w:val="23"/>
                <w:szCs w:val="23"/>
                <w:lang w:val="kk-KZ"/>
              </w:rPr>
              <w:t> </w:t>
            </w:r>
            <w:r w:rsidR="00CE534F">
              <w:rPr>
                <w:rFonts w:ascii="Times New Roman" w:hAnsi="Times New Roman"/>
                <w:color w:val="000000"/>
                <w:sz w:val="23"/>
                <w:szCs w:val="23"/>
                <w:lang w:val="kk-KZ"/>
              </w:rPr>
              <w:t>1</w:t>
            </w:r>
            <w:r w:rsidR="004E463B">
              <w:rPr>
                <w:rFonts w:ascii="Times New Roman" w:hAnsi="Times New Roman"/>
                <w:color w:val="000000"/>
                <w:sz w:val="23"/>
                <w:szCs w:val="23"/>
                <w:lang w:val="kk-KZ"/>
              </w:rPr>
              <w:t>11,2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7 465,1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7834,7</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w:t>
      </w:r>
      <w:r w:rsidR="0074412D">
        <w:rPr>
          <w:rFonts w:ascii="Times New Roman" w:hAnsi="Times New Roman"/>
          <w:sz w:val="28"/>
          <w:szCs w:val="28"/>
          <w:lang w:val="kk-KZ"/>
        </w:rPr>
        <w:t>7 560,5</w:t>
      </w:r>
      <w:r w:rsidRPr="002B2080">
        <w:rPr>
          <w:rFonts w:ascii="Times New Roman" w:hAnsi="Times New Roman"/>
          <w:sz w:val="28"/>
          <w:szCs w:val="28"/>
        </w:rPr>
        <w:t xml:space="preserve"> 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201</w:t>
            </w:r>
            <w:r>
              <w:rPr>
                <w:rFonts w:ascii="Times New Roman" w:hAnsi="Times New Roman"/>
                <w:b/>
                <w:bCs/>
                <w:sz w:val="24"/>
                <w:szCs w:val="24"/>
                <w:lang w:val="kk-KZ"/>
              </w:rPr>
              <w:t>8</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74412D">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sidR="002B2080">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74412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74412D">
              <w:rPr>
                <w:rFonts w:ascii="Times New Roman" w:hAnsi="Times New Roman"/>
                <w:i/>
                <w:iCs/>
                <w:sz w:val="24"/>
                <w:szCs w:val="24"/>
                <w:lang w:val="kk-KZ"/>
              </w:rPr>
              <w:t>6728,4</w:t>
            </w:r>
          </w:p>
        </w:tc>
        <w:tc>
          <w:tcPr>
            <w:tcW w:w="712" w:type="pct"/>
            <w:tcBorders>
              <w:top w:val="single" w:sz="4" w:space="0" w:color="auto"/>
              <w:bottom w:val="single" w:sz="4" w:space="0" w:color="auto"/>
            </w:tcBorders>
            <w:shd w:val="clear" w:color="auto" w:fill="auto"/>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7 560,5</w:t>
            </w:r>
          </w:p>
        </w:tc>
        <w:tc>
          <w:tcPr>
            <w:tcW w:w="671" w:type="pct"/>
            <w:tcBorders>
              <w:top w:val="single" w:sz="4" w:space="0" w:color="auto"/>
              <w:bottom w:val="single" w:sz="4" w:space="0" w:color="auto"/>
            </w:tcBorders>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7 324,8</w:t>
            </w:r>
          </w:p>
        </w:tc>
        <w:tc>
          <w:tcPr>
            <w:tcW w:w="616" w:type="pct"/>
            <w:tcBorders>
              <w:top w:val="single" w:sz="4" w:space="0" w:color="auto"/>
              <w:bottom w:val="single" w:sz="4" w:space="0" w:color="auto"/>
            </w:tcBorders>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7 691,1</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74412D"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B65687">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177,4</w:t>
            </w:r>
          </w:p>
        </w:tc>
        <w:tc>
          <w:tcPr>
            <w:tcW w:w="1559"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rPr>
              <w:t>14</w:t>
            </w:r>
            <w:r>
              <w:rPr>
                <w:rFonts w:ascii="Times New Roman" w:hAnsi="Times New Roman"/>
                <w:b/>
                <w:bCs/>
                <w:sz w:val="24"/>
                <w:szCs w:val="24"/>
                <w:lang w:val="kk-KZ"/>
              </w:rPr>
              <w:t>0,4</w:t>
            </w:r>
          </w:p>
        </w:tc>
        <w:tc>
          <w:tcPr>
            <w:tcW w:w="1417" w:type="dxa"/>
            <w:tcBorders>
              <w:top w:val="single" w:sz="4" w:space="0" w:color="auto"/>
              <w:left w:val="nil"/>
              <w:bottom w:val="single" w:sz="4" w:space="0" w:color="auto"/>
              <w:right w:val="nil"/>
            </w:tcBorders>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143,6</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proofErr w:type="spellStart"/>
            <w:r>
              <w:rPr>
                <w:rFonts w:ascii="Times New Roman" w:hAnsi="Times New Roman"/>
                <w:bCs/>
                <w:i/>
                <w:sz w:val="24"/>
                <w:szCs w:val="24"/>
              </w:rPr>
              <w:t>Красн</w:t>
            </w:r>
            <w:proofErr w:type="spellEnd"/>
            <w:r w:rsidR="00FF29FE">
              <w:rPr>
                <w:rFonts w:ascii="Times New Roman" w:hAnsi="Times New Roman"/>
                <w:bCs/>
                <w:i/>
                <w:sz w:val="24"/>
                <w:szCs w:val="24"/>
                <w:lang w:val="kk-KZ"/>
              </w:rPr>
              <w:t>ый Яр</w:t>
            </w:r>
            <w:r>
              <w:rPr>
                <w:rFonts w:ascii="Times New Roman" w:hAnsi="Times New Roman"/>
                <w:bCs/>
                <w:i/>
                <w:sz w:val="24"/>
                <w:szCs w:val="24"/>
              </w:rPr>
              <w:t xml:space="preserve"> с/о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117,8</w:t>
            </w:r>
          </w:p>
        </w:tc>
        <w:tc>
          <w:tcPr>
            <w:tcW w:w="1559"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121,2</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124,3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59,6</w:t>
            </w:r>
          </w:p>
        </w:tc>
        <w:tc>
          <w:tcPr>
            <w:tcW w:w="1559" w:type="dxa"/>
            <w:tcBorders>
              <w:top w:val="single" w:sz="4" w:space="0" w:color="auto"/>
              <w:left w:val="nil"/>
              <w:bottom w:val="single" w:sz="4" w:space="0" w:color="auto"/>
              <w:right w:val="nil"/>
            </w:tcBorders>
            <w:noWrap/>
            <w:vAlign w:val="center"/>
          </w:tcPr>
          <w:p w:rsidR="001512D2" w:rsidRPr="00D87D35" w:rsidRDefault="0074412D" w:rsidP="0074412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19,1</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19,3</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шығындарды қамтитын білім беру, әлеуметтік қамтамасыз ету, мәдениет, спорт </w:t>
      </w:r>
      <w:r w:rsidR="001321D0">
        <w:rPr>
          <w:rFonts w:ascii="Times New Roman" w:hAnsi="Times New Roman"/>
          <w:sz w:val="28"/>
          <w:szCs w:val="28"/>
          <w:lang w:val="kk-KZ"/>
        </w:rPr>
        <w:t>13 452,0</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1321D0">
        <w:rPr>
          <w:rFonts w:ascii="Times New Roman" w:hAnsi="Times New Roman"/>
          <w:sz w:val="28"/>
          <w:szCs w:val="28"/>
          <w:lang w:val="kk-KZ"/>
        </w:rPr>
        <w:t>38</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1321D0">
        <w:rPr>
          <w:rFonts w:ascii="Times New Roman" w:hAnsi="Times New Roman"/>
          <w:sz w:val="28"/>
          <w:szCs w:val="28"/>
          <w:lang w:val="kk-KZ"/>
        </w:rPr>
        <w:t>82</w:t>
      </w:r>
      <w:r w:rsidR="004E463B">
        <w:rPr>
          <w:rFonts w:ascii="Times New Roman" w:hAnsi="Times New Roman"/>
          <w:sz w:val="28"/>
          <w:szCs w:val="28"/>
          <w:lang w:val="kk-KZ"/>
        </w:rPr>
        <w:t>,</w:t>
      </w:r>
      <w:r w:rsidR="001321D0">
        <w:rPr>
          <w:rFonts w:ascii="Times New Roman" w:hAnsi="Times New Roman"/>
          <w:sz w:val="28"/>
          <w:szCs w:val="28"/>
          <w:lang w:val="kk-KZ"/>
        </w:rPr>
        <w:t>2</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w:t>
      </w:r>
      <w:r w:rsidR="001321D0">
        <w:rPr>
          <w:rFonts w:ascii="Times New Roman" w:hAnsi="Times New Roman"/>
          <w:sz w:val="28"/>
          <w:szCs w:val="28"/>
          <w:lang w:val="kk-KZ"/>
        </w:rPr>
        <w:t>14</w:t>
      </w:r>
      <w:r w:rsidR="00236C39">
        <w:rPr>
          <w:rFonts w:ascii="Times New Roman" w:hAnsi="Times New Roman"/>
          <w:sz w:val="28"/>
          <w:szCs w:val="28"/>
          <w:lang w:val="kk-KZ"/>
        </w:rPr>
        <w:t xml:space="preserve">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1321D0">
        <w:rPr>
          <w:rFonts w:ascii="Times New Roman" w:hAnsi="Times New Roman"/>
          <w:sz w:val="28"/>
          <w:szCs w:val="28"/>
          <w:lang w:val="kk-KZ"/>
        </w:rPr>
        <w:t>3,8</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1321D0">
        <w:rPr>
          <w:rFonts w:ascii="Times New Roman" w:hAnsi="Times New Roman"/>
          <w:sz w:val="28"/>
          <w:szCs w:val="28"/>
          <w:lang w:val="kk-KZ"/>
        </w:rPr>
        <w:t>799,1</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xml:space="preserve">: қалалық мәслихат аппараты, қала әкімінің аппараты, қаржы бөлімі, экономика және бюджеттік жоспарлау бөлімі, аудандық тұрғын үй-коммуналдық </w:t>
      </w:r>
      <w:r w:rsidR="00FF29FE" w:rsidRPr="00603AD9">
        <w:rPr>
          <w:rFonts w:ascii="Times New Roman" w:hAnsi="Times New Roman"/>
          <w:sz w:val="28"/>
          <w:szCs w:val="28"/>
          <w:lang w:val="kk-KZ"/>
        </w:rPr>
        <w:lastRenderedPageBreak/>
        <w:t>шаруашылығы, жолаушылар көлігі және автомобиль жолдары бөлімі.</w:t>
      </w:r>
      <w:r w:rsidR="000A7916">
        <w:rPr>
          <w:rFonts w:ascii="Times New Roman" w:hAnsi="Times New Roman"/>
          <w:sz w:val="28"/>
          <w:szCs w:val="28"/>
          <w:lang w:val="kk-KZ"/>
        </w:rPr>
        <w:t xml:space="preserve"> Сондай-ақ </w:t>
      </w:r>
      <w:r w:rsidR="00236C39">
        <w:rPr>
          <w:rFonts w:ascii="Times New Roman" w:hAnsi="Times New Roman"/>
          <w:sz w:val="28"/>
          <w:szCs w:val="28"/>
          <w:lang w:val="kk-KZ"/>
        </w:rPr>
        <w:t xml:space="preserve">құрылыс бөліміне жобалау-сметалық құжаттаманы әзірлеуге </w:t>
      </w:r>
      <w:r w:rsidR="0074412D">
        <w:rPr>
          <w:rFonts w:ascii="Times New Roman" w:hAnsi="Times New Roman"/>
          <w:sz w:val="28"/>
          <w:szCs w:val="28"/>
          <w:lang w:val="kk-KZ"/>
        </w:rPr>
        <w:t>5,2</w:t>
      </w:r>
      <w:r w:rsidR="00236C39">
        <w:rPr>
          <w:rFonts w:ascii="Times New Roman" w:hAnsi="Times New Roman"/>
          <w:sz w:val="28"/>
          <w:szCs w:val="28"/>
          <w:lang w:val="kk-KZ"/>
        </w:rPr>
        <w:t xml:space="preserve"> млн. теңге сомасында </w:t>
      </w:r>
      <w:r w:rsidR="000A7916">
        <w:rPr>
          <w:rFonts w:ascii="Times New Roman" w:hAnsi="Times New Roman"/>
          <w:sz w:val="28"/>
          <w:szCs w:val="28"/>
          <w:lang w:val="kk-KZ"/>
        </w:rPr>
        <w:t>қарастырылған.</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1321D0">
        <w:rPr>
          <w:rFonts w:ascii="Times New Roman" w:hAnsi="Times New Roman"/>
          <w:sz w:val="28"/>
          <w:szCs w:val="28"/>
          <w:lang w:val="kk-KZ"/>
        </w:rPr>
        <w:t>1288,1</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1321D0">
        <w:rPr>
          <w:rFonts w:ascii="Times New Roman" w:hAnsi="Times New Roman"/>
          <w:sz w:val="28"/>
          <w:szCs w:val="28"/>
          <w:lang w:val="kk-KZ"/>
        </w:rPr>
        <w:t>126,6</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нақтыланған</w:t>
            </w:r>
            <w:proofErr w:type="spellEnd"/>
            <w:r w:rsidR="002C18BD" w:rsidRPr="002C18BD">
              <w:rPr>
                <w:rStyle w:val="a5"/>
                <w:sz w:val="22"/>
                <w:szCs w:val="22"/>
              </w:rPr>
              <w:t xml:space="preserve"> </w:t>
            </w:r>
            <w:proofErr w:type="spellStart"/>
            <w:r w:rsidR="002C18BD"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0230CF">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9</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0230CF">
              <w:rPr>
                <w:rStyle w:val="a5"/>
                <w:sz w:val="22"/>
                <w:szCs w:val="22"/>
                <w:lang w:val="kk-KZ"/>
              </w:rPr>
              <w:t>бекітілген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0230CF" w:rsidRDefault="000230CF"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114,6</w:t>
            </w:r>
          </w:p>
        </w:tc>
        <w:tc>
          <w:tcPr>
            <w:tcW w:w="3119" w:type="dxa"/>
            <w:tcBorders>
              <w:top w:val="single" w:sz="4" w:space="0" w:color="auto"/>
              <w:left w:val="nil"/>
              <w:bottom w:val="nil"/>
              <w:right w:val="nil"/>
            </w:tcBorders>
          </w:tcPr>
          <w:p w:rsidR="00142537" w:rsidRPr="00CE4CD2" w:rsidRDefault="001321D0"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126,6</w:t>
            </w:r>
          </w:p>
        </w:tc>
        <w:tc>
          <w:tcPr>
            <w:tcW w:w="2657" w:type="dxa"/>
            <w:tcBorders>
              <w:top w:val="single" w:sz="4" w:space="0" w:color="auto"/>
              <w:left w:val="nil"/>
              <w:bottom w:val="nil"/>
              <w:right w:val="nil"/>
            </w:tcBorders>
          </w:tcPr>
          <w:p w:rsidR="00142537" w:rsidRPr="003C682D" w:rsidRDefault="000230CF" w:rsidP="004E463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w:t>
            </w:r>
            <w:r w:rsidR="001321D0">
              <w:rPr>
                <w:rStyle w:val="a5"/>
                <w:rFonts w:ascii="Times New Roman" w:hAnsi="Times New Roman"/>
                <w:b w:val="0"/>
                <w:bCs w:val="0"/>
                <w:i/>
                <w:color w:val="000000"/>
                <w:lang w:val="kk-KZ" w:eastAsia="ru-RU"/>
              </w:rPr>
              <w:t>0,5</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AD6FA0"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D6FA0">
        <w:rPr>
          <w:rFonts w:ascii="Times New Roman" w:hAnsi="Times New Roman"/>
          <w:sz w:val="28"/>
          <w:szCs w:val="28"/>
          <w:lang w:val="kk-KZ"/>
        </w:rPr>
        <w:t xml:space="preserve">«Білім» функционалдық тобы бойынша шығындар </w:t>
      </w:r>
      <w:r w:rsidR="004E463B">
        <w:rPr>
          <w:rFonts w:ascii="Times New Roman" w:hAnsi="Times New Roman"/>
          <w:sz w:val="28"/>
          <w:szCs w:val="28"/>
          <w:lang w:val="kk-KZ"/>
        </w:rPr>
        <w:t>11</w:t>
      </w:r>
      <w:r w:rsidR="001321D0">
        <w:rPr>
          <w:rFonts w:ascii="Times New Roman" w:hAnsi="Times New Roman"/>
          <w:sz w:val="28"/>
          <w:szCs w:val="28"/>
          <w:lang w:val="kk-KZ"/>
        </w:rPr>
        <w:t> 062,3</w:t>
      </w:r>
      <w:r w:rsidRPr="00AD6FA0">
        <w:rPr>
          <w:rFonts w:ascii="Times New Roman" w:hAnsi="Times New Roman"/>
          <w:sz w:val="28"/>
          <w:szCs w:val="28"/>
          <w:lang w:val="kk-KZ"/>
        </w:rPr>
        <w:t xml:space="preserve"> млн теңге сомасында қарастырылған.</w:t>
      </w:r>
    </w:p>
    <w:p w:rsidR="000230CF" w:rsidRPr="00AD6FA0"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 </w:t>
      </w:r>
      <w:r w:rsidRPr="00AD6FA0">
        <w:rPr>
          <w:rFonts w:ascii="Times New Roman" w:hAnsi="Times New Roman"/>
          <w:b/>
          <w:sz w:val="28"/>
          <w:szCs w:val="28"/>
          <w:lang w:val="kk-KZ"/>
        </w:rPr>
        <w:t>«Жалпы білім беру»</w:t>
      </w:r>
      <w:r w:rsidRPr="00AD6FA0">
        <w:rPr>
          <w:rFonts w:ascii="Times New Roman" w:hAnsi="Times New Roman"/>
          <w:sz w:val="28"/>
          <w:szCs w:val="28"/>
          <w:lang w:val="kk-KZ"/>
        </w:rPr>
        <w:t xml:space="preserve"> бағдарламасы бойынша </w:t>
      </w:r>
      <w:r w:rsidR="004E463B">
        <w:rPr>
          <w:rFonts w:ascii="Times New Roman" w:hAnsi="Times New Roman"/>
          <w:sz w:val="28"/>
          <w:szCs w:val="28"/>
          <w:lang w:val="kk-KZ"/>
        </w:rPr>
        <w:t>6</w:t>
      </w:r>
      <w:r w:rsidR="001321D0">
        <w:rPr>
          <w:rFonts w:ascii="Times New Roman" w:hAnsi="Times New Roman"/>
          <w:sz w:val="28"/>
          <w:szCs w:val="28"/>
          <w:lang w:val="kk-KZ"/>
        </w:rPr>
        <w:t> 098,3</w:t>
      </w:r>
      <w:r w:rsidRPr="00AD6FA0">
        <w:rPr>
          <w:rFonts w:ascii="Times New Roman" w:hAnsi="Times New Roman"/>
          <w:sz w:val="28"/>
          <w:szCs w:val="28"/>
          <w:lang w:val="kk-KZ"/>
        </w:rPr>
        <w:t xml:space="preserve"> млн теңге сомасында шығындар қарастырылған.</w:t>
      </w:r>
    </w:p>
    <w:p w:rsidR="00A84C37"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Білім беру ұйымдарының кезеңдік жөндеу тәжірибесі жалғастырылатын болады. </w:t>
      </w:r>
      <w:r w:rsidR="000230CF" w:rsidRPr="00AD6FA0">
        <w:rPr>
          <w:rFonts w:ascii="Times New Roman" w:hAnsi="Times New Roman"/>
          <w:sz w:val="28"/>
          <w:szCs w:val="28"/>
          <w:lang w:val="kk-KZ"/>
        </w:rPr>
        <w:t xml:space="preserve">2019 жылы білім беру объектілеріне күрделі жөндеуге </w:t>
      </w:r>
      <w:r w:rsidR="004E463B">
        <w:rPr>
          <w:rFonts w:ascii="Times New Roman" w:hAnsi="Times New Roman"/>
          <w:sz w:val="28"/>
          <w:szCs w:val="28"/>
          <w:lang w:val="kk-KZ"/>
        </w:rPr>
        <w:t>26,6</w:t>
      </w:r>
      <w:r w:rsidR="000230CF" w:rsidRPr="00AD6FA0">
        <w:rPr>
          <w:rFonts w:ascii="Times New Roman" w:hAnsi="Times New Roman"/>
          <w:sz w:val="28"/>
          <w:szCs w:val="28"/>
          <w:lang w:val="kk-KZ"/>
        </w:rPr>
        <w:t xml:space="preserve"> млн. теңге қаражаттар қарастырылды.</w:t>
      </w:r>
    </w:p>
    <w:p w:rsidR="00A01AC7" w:rsidRPr="00A01AC7" w:rsidRDefault="00A01AC7" w:rsidP="00A84C37">
      <w:pPr>
        <w:spacing w:after="0"/>
        <w:ind w:firstLine="708"/>
        <w:jc w:val="both"/>
        <w:rPr>
          <w:rFonts w:ascii="Times New Roman" w:hAnsi="Times New Roman"/>
          <w:sz w:val="32"/>
          <w:szCs w:val="32"/>
          <w:lang w:val="kk-KZ"/>
        </w:rPr>
      </w:pPr>
      <w:r>
        <w:rPr>
          <w:rFonts w:ascii="Times New Roman" w:hAnsi="Times New Roman"/>
          <w:sz w:val="28"/>
          <w:szCs w:val="28"/>
          <w:lang w:val="kk-KZ"/>
        </w:rPr>
        <w:t>2019 жылдың бюджетінде қайтадан енгізілетін екі мектепке дейінгі білім беру мекемесін ұстауға қаражаттар жоспарланған.</w:t>
      </w:r>
    </w:p>
    <w:p w:rsidR="00A84C37" w:rsidRPr="00A01AC7" w:rsidRDefault="00A84C37" w:rsidP="00A84C37">
      <w:pPr>
        <w:spacing w:after="0"/>
        <w:ind w:firstLine="708"/>
        <w:jc w:val="both"/>
        <w:rPr>
          <w:rFonts w:ascii="Times New Roman" w:hAnsi="Times New Roman"/>
          <w:sz w:val="28"/>
          <w:szCs w:val="28"/>
          <w:lang w:val="kk-KZ"/>
        </w:rPr>
      </w:pPr>
      <w:r w:rsidRPr="00236C39">
        <w:rPr>
          <w:rFonts w:ascii="Times New Roman" w:hAnsi="Times New Roman"/>
          <w:sz w:val="28"/>
          <w:szCs w:val="28"/>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r w:rsidR="00A01AC7">
        <w:rPr>
          <w:rFonts w:ascii="Times New Roman" w:hAnsi="Times New Roman"/>
          <w:sz w:val="28"/>
          <w:szCs w:val="28"/>
          <w:lang w:val="kk-KZ"/>
        </w:rPr>
        <w:t xml:space="preserve"> Сондай-ақ «</w:t>
      </w:r>
      <w:r w:rsidR="00A01AC7" w:rsidRPr="00A01AC7">
        <w:rPr>
          <w:rFonts w:ascii="Times New Roman" w:hAnsi="Times New Roman"/>
          <w:sz w:val="28"/>
          <w:szCs w:val="28"/>
          <w:lang w:val="kk-KZ"/>
        </w:rPr>
        <w:t>Smart</w:t>
      </w:r>
      <w:r w:rsidR="00A01AC7">
        <w:rPr>
          <w:rFonts w:ascii="Times New Roman" w:hAnsi="Times New Roman"/>
          <w:sz w:val="28"/>
          <w:szCs w:val="28"/>
          <w:lang w:val="kk-KZ"/>
        </w:rPr>
        <w:t>-мектеп» өткізу жүйесін орнатуға шығындар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 xml:space="preserve">          Республикалық және облыстық бюджет қаражаты есебінен Краснояр жолы бойынша ОТК құрылысына және №1</w:t>
      </w:r>
      <w:r w:rsidR="00A01AC7">
        <w:rPr>
          <w:rFonts w:ascii="Times New Roman" w:eastAsia="Times New Roman" w:hAnsi="Times New Roman"/>
          <w:sz w:val="28"/>
          <w:szCs w:val="28"/>
          <w:lang w:val="kk-KZ" w:eastAsia="ru-RU"/>
        </w:rPr>
        <w:t>, 6 ОМ және</w:t>
      </w:r>
      <w:r w:rsidRPr="00A84C37">
        <w:rPr>
          <w:rFonts w:ascii="Times New Roman" w:eastAsia="Times New Roman" w:hAnsi="Times New Roman"/>
          <w:sz w:val="28"/>
          <w:szCs w:val="28"/>
          <w:lang w:val="kk-KZ" w:eastAsia="ru-RU"/>
        </w:rPr>
        <w:t xml:space="preserve"> </w:t>
      </w:r>
      <w:r w:rsidR="00A01AC7">
        <w:rPr>
          <w:rFonts w:ascii="Times New Roman" w:eastAsia="Times New Roman" w:hAnsi="Times New Roman"/>
          <w:sz w:val="28"/>
          <w:szCs w:val="28"/>
          <w:lang w:val="kk-KZ" w:eastAsia="ru-RU"/>
        </w:rPr>
        <w:t>№13 «Экос» МГ</w:t>
      </w:r>
      <w:r w:rsidRPr="00A84C37">
        <w:rPr>
          <w:rFonts w:ascii="Times New Roman" w:eastAsia="Times New Roman" w:hAnsi="Times New Roman"/>
          <w:sz w:val="28"/>
          <w:szCs w:val="28"/>
          <w:lang w:val="kk-KZ" w:eastAsia="ru-RU"/>
        </w:rPr>
        <w:t xml:space="preserve"> жапсаржай құрылысына </w:t>
      </w:r>
      <w:r w:rsidR="00A01AC7">
        <w:rPr>
          <w:rFonts w:ascii="Times New Roman" w:eastAsia="Times New Roman" w:hAnsi="Times New Roman"/>
          <w:sz w:val="28"/>
          <w:szCs w:val="28"/>
          <w:lang w:val="kk-KZ" w:eastAsia="ru-RU"/>
        </w:rPr>
        <w:t>1 483,6</w:t>
      </w:r>
      <w:r w:rsidRPr="00A84C37">
        <w:rPr>
          <w:rFonts w:ascii="Times New Roman" w:eastAsia="Times New Roman" w:hAnsi="Times New Roman"/>
          <w:sz w:val="28"/>
          <w:szCs w:val="28"/>
          <w:lang w:val="kk-KZ" w:eastAsia="ru-RU"/>
        </w:rPr>
        <w:t xml:space="preserve"> млн теңге </w:t>
      </w:r>
      <w:r w:rsidR="00A01AC7">
        <w:rPr>
          <w:rFonts w:ascii="Times New Roman" w:eastAsia="Times New Roman" w:hAnsi="Times New Roman"/>
          <w:sz w:val="28"/>
          <w:szCs w:val="28"/>
          <w:lang w:val="kk-KZ" w:eastAsia="ru-RU"/>
        </w:rPr>
        <w:t xml:space="preserve">сомасында </w:t>
      </w:r>
      <w:r w:rsidRPr="00A84C37">
        <w:rPr>
          <w:rFonts w:ascii="Times New Roman" w:eastAsia="Times New Roman" w:hAnsi="Times New Roman"/>
          <w:sz w:val="28"/>
          <w:szCs w:val="28"/>
          <w:lang w:val="kk-KZ" w:eastAsia="ru-RU"/>
        </w:rPr>
        <w:t>трасферттер қарастырылған.</w:t>
      </w:r>
    </w:p>
    <w:p w:rsidR="00A84C37" w:rsidRDefault="00A84C37" w:rsidP="00A01AC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ab/>
        <w:t xml:space="preserve">Сонымен, облыстық бюджет есебінен </w:t>
      </w:r>
      <w:r w:rsidR="004E463B">
        <w:rPr>
          <w:rFonts w:ascii="Times New Roman" w:eastAsia="Times New Roman" w:hAnsi="Times New Roman"/>
          <w:sz w:val="28"/>
          <w:szCs w:val="28"/>
          <w:lang w:val="kk-KZ" w:eastAsia="ru-RU"/>
        </w:rPr>
        <w:t>350,0</w:t>
      </w:r>
      <w:r w:rsidR="003C682D">
        <w:rPr>
          <w:rFonts w:ascii="Times New Roman" w:eastAsia="Times New Roman" w:hAnsi="Times New Roman"/>
          <w:sz w:val="28"/>
          <w:szCs w:val="28"/>
          <w:lang w:val="kk-KZ" w:eastAsia="ru-RU"/>
        </w:rPr>
        <w:t xml:space="preserve"> млн. теңге сомасында </w:t>
      </w:r>
      <w:r w:rsidR="00A01AC7">
        <w:rPr>
          <w:rFonts w:ascii="Times New Roman" w:eastAsia="Times New Roman" w:hAnsi="Times New Roman"/>
          <w:sz w:val="28"/>
          <w:szCs w:val="28"/>
          <w:lang w:val="kk-KZ" w:eastAsia="ru-RU"/>
        </w:rPr>
        <w:t xml:space="preserve">280 орындық бала бақша құрылысына трансферттер қарастырылған. </w:t>
      </w:r>
    </w:p>
    <w:p w:rsidR="00A01AC7" w:rsidRPr="00A84C37" w:rsidRDefault="00A01AC7" w:rsidP="00A01AC7">
      <w:pPr>
        <w:spacing w:after="0"/>
        <w:ind w:right="97"/>
        <w:jc w:val="both"/>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lastRenderedPageBreak/>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01AC7" w:rsidRDefault="00A01AC7"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10 099,7</w:t>
            </w:r>
          </w:p>
        </w:tc>
        <w:tc>
          <w:tcPr>
            <w:tcW w:w="3119" w:type="dxa"/>
            <w:tcBorders>
              <w:top w:val="single" w:sz="4" w:space="0" w:color="auto"/>
              <w:left w:val="nil"/>
              <w:bottom w:val="nil"/>
              <w:right w:val="nil"/>
            </w:tcBorders>
            <w:hideMark/>
          </w:tcPr>
          <w:p w:rsidR="00A84C37" w:rsidRPr="00A84C37" w:rsidRDefault="001321D0" w:rsidP="005B3565">
            <w:pPr>
              <w:spacing w:after="0" w:line="240" w:lineRule="auto"/>
              <w:jc w:val="center"/>
              <w:rPr>
                <w:bCs/>
                <w:i/>
                <w:lang w:val="kk-KZ"/>
              </w:rPr>
            </w:pPr>
            <w:r>
              <w:rPr>
                <w:bCs/>
                <w:i/>
                <w:lang w:val="kk-KZ"/>
              </w:rPr>
              <w:t>11 062,3</w:t>
            </w:r>
          </w:p>
        </w:tc>
        <w:tc>
          <w:tcPr>
            <w:tcW w:w="2657" w:type="dxa"/>
            <w:tcBorders>
              <w:top w:val="single" w:sz="4" w:space="0" w:color="auto"/>
              <w:left w:val="nil"/>
              <w:bottom w:val="nil"/>
              <w:right w:val="nil"/>
            </w:tcBorders>
            <w:hideMark/>
          </w:tcPr>
          <w:p w:rsidR="00A84C37" w:rsidRPr="00615299" w:rsidRDefault="001321D0" w:rsidP="005B3565">
            <w:pPr>
              <w:spacing w:after="0" w:line="240" w:lineRule="auto"/>
              <w:jc w:val="center"/>
              <w:rPr>
                <w:i/>
                <w:color w:val="000000"/>
                <w:lang w:val="kk-KZ"/>
              </w:rPr>
            </w:pPr>
            <w:r>
              <w:rPr>
                <w:i/>
                <w:color w:val="000000"/>
                <w:lang w:val="kk-KZ" w:eastAsia="ru-RU"/>
              </w:rPr>
              <w:t>109,5</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көмек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және</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қамтамасыз</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ету</w:t>
      </w:r>
      <w:proofErr w:type="spellEnd"/>
      <w:r w:rsidRPr="00A84C37">
        <w:rPr>
          <w:rFonts w:ascii="Times New Roman" w:hAnsi="Times New Roman"/>
          <w:sz w:val="28"/>
          <w:szCs w:val="28"/>
        </w:rPr>
        <w:t xml:space="preserve">» </w:t>
      </w:r>
      <w:r w:rsidRPr="00A84C37">
        <w:rPr>
          <w:rFonts w:ascii="Times New Roman" w:hAnsi="Times New Roman"/>
          <w:sz w:val="28"/>
          <w:szCs w:val="28"/>
          <w:lang w:val="kk-KZ"/>
        </w:rPr>
        <w:t xml:space="preserve">функционалдық тобы бойынша шығындар </w:t>
      </w:r>
      <w:r w:rsidR="00C859E8">
        <w:rPr>
          <w:rFonts w:ascii="Times New Roman" w:hAnsi="Times New Roman"/>
          <w:sz w:val="28"/>
          <w:szCs w:val="28"/>
          <w:lang w:val="kk-KZ"/>
        </w:rPr>
        <w:t>1878,8</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C859E8">
        <w:rPr>
          <w:rFonts w:ascii="Times New Roman" w:hAnsi="Times New Roman"/>
          <w:sz w:val="28"/>
          <w:szCs w:val="28"/>
          <w:lang w:val="kk-KZ"/>
        </w:rPr>
        <w:t>842,4</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t xml:space="preserve">Жаңа форматтағы  МӘК– </w:t>
      </w:r>
      <w:r w:rsidR="00C859E8">
        <w:rPr>
          <w:rFonts w:ascii="Times New Roman" w:hAnsi="Times New Roman"/>
          <w:iCs/>
          <w:sz w:val="28"/>
          <w:szCs w:val="28"/>
          <w:lang w:val="kk-KZ"/>
        </w:rPr>
        <w:t>542,6</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Жұмыспен қамту орталығына консультанттарды енгізуге – </w:t>
      </w:r>
      <w:r w:rsidR="00D30808">
        <w:rPr>
          <w:rFonts w:ascii="Times New Roman" w:hAnsi="Times New Roman"/>
          <w:iCs/>
          <w:sz w:val="28"/>
          <w:szCs w:val="28"/>
          <w:lang w:val="kk-KZ"/>
        </w:rPr>
        <w:t>3,8</w:t>
      </w:r>
      <w:r w:rsidRPr="00A84C37">
        <w:rPr>
          <w:rFonts w:ascii="Times New Roman" w:hAnsi="Times New Roman"/>
          <w:iCs/>
          <w:sz w:val="28"/>
          <w:szCs w:val="28"/>
          <w:lang w:val="kk-KZ"/>
        </w:rPr>
        <w:t xml:space="preserve">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Техникалық және көмекші құралдар тізімін ұлғайтуға </w:t>
      </w:r>
      <w:r w:rsidR="00D30808">
        <w:rPr>
          <w:rFonts w:ascii="Times New Roman" w:hAnsi="Times New Roman"/>
          <w:iCs/>
          <w:sz w:val="28"/>
          <w:szCs w:val="28"/>
          <w:lang w:val="kk-KZ"/>
        </w:rPr>
        <w:t>–</w:t>
      </w:r>
      <w:r w:rsidRPr="00A84C37">
        <w:rPr>
          <w:rFonts w:ascii="Times New Roman" w:hAnsi="Times New Roman"/>
          <w:iCs/>
          <w:sz w:val="28"/>
          <w:szCs w:val="28"/>
          <w:lang w:val="kk-KZ"/>
        </w:rPr>
        <w:t xml:space="preserve"> </w:t>
      </w:r>
      <w:r w:rsidR="00D30808">
        <w:rPr>
          <w:rFonts w:ascii="Times New Roman" w:hAnsi="Times New Roman"/>
          <w:iCs/>
          <w:sz w:val="28"/>
          <w:szCs w:val="28"/>
          <w:lang w:val="kk-KZ"/>
        </w:rPr>
        <w:t>23,5</w:t>
      </w:r>
      <w:r w:rsidRPr="00A84C37">
        <w:rPr>
          <w:rFonts w:ascii="Times New Roman" w:hAnsi="Times New Roman"/>
          <w:iCs/>
          <w:sz w:val="28"/>
          <w:szCs w:val="28"/>
          <w:lang w:val="kk-KZ"/>
        </w:rPr>
        <w:t xml:space="preserve"> млн.теңге,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w:t>
      </w:r>
      <w:r w:rsidR="004E463B">
        <w:rPr>
          <w:rFonts w:ascii="Times New Roman" w:hAnsi="Times New Roman"/>
          <w:iCs/>
          <w:sz w:val="28"/>
          <w:szCs w:val="28"/>
          <w:lang w:val="kk-KZ"/>
        </w:rPr>
        <w:t>59,7</w:t>
      </w:r>
      <w:r w:rsidRPr="00A84C37">
        <w:rPr>
          <w:rFonts w:ascii="Times New Roman" w:hAnsi="Times New Roman"/>
          <w:iCs/>
          <w:sz w:val="28"/>
          <w:szCs w:val="28"/>
          <w:lang w:val="kk-KZ"/>
        </w:rPr>
        <w:t xml:space="preserve"> млн.теңге,</w:t>
      </w:r>
    </w:p>
    <w:p w:rsidR="00D30808" w:rsidRPr="00A84C37" w:rsidRDefault="00D30808" w:rsidP="00D30808">
      <w:pPr>
        <w:spacing w:after="0"/>
        <w:ind w:firstLine="708"/>
        <w:jc w:val="both"/>
        <w:rPr>
          <w:rFonts w:ascii="Times New Roman" w:hAnsi="Times New Roman"/>
          <w:iCs/>
          <w:sz w:val="28"/>
          <w:szCs w:val="28"/>
          <w:lang w:val="kk-KZ"/>
        </w:rPr>
      </w:pPr>
      <w:r>
        <w:rPr>
          <w:rFonts w:ascii="Times New Roman" w:hAnsi="Times New Roman"/>
          <w:iCs/>
          <w:sz w:val="28"/>
          <w:szCs w:val="28"/>
          <w:lang w:val="kk-KZ"/>
        </w:rPr>
        <w:lastRenderedPageBreak/>
        <w:t>Қазақстан Республикасының Үкіметімен анықталған өз еркімен аймақтарға қоныс аударатын тұлғаларға және қоныс аударуға көмек көрсететін жұмыс берушілерге мемлекеттік қолдау шарасын – 1</w:t>
      </w:r>
      <w:r w:rsidR="00C859E8">
        <w:rPr>
          <w:rFonts w:ascii="Times New Roman" w:hAnsi="Times New Roman"/>
          <w:iCs/>
          <w:sz w:val="28"/>
          <w:szCs w:val="28"/>
          <w:lang w:val="kk-KZ"/>
        </w:rPr>
        <w:t>,2</w:t>
      </w:r>
      <w:r w:rsidRPr="00A84C37">
        <w:rPr>
          <w:rFonts w:ascii="Times New Roman" w:hAnsi="Times New Roman"/>
          <w:iCs/>
          <w:sz w:val="28"/>
          <w:szCs w:val="28"/>
          <w:lang w:val="kk-KZ"/>
        </w:rPr>
        <w:t xml:space="preserve"> млн.теңге,</w:t>
      </w:r>
    </w:p>
    <w:p w:rsidR="00D30808" w:rsidRPr="00A84C37" w:rsidRDefault="00CB408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Жаңа бизнес-идеяларды іске асыруға мемлекеттік граннтарды ұсынуға – </w:t>
      </w:r>
      <w:r w:rsidR="00C859E8">
        <w:rPr>
          <w:rFonts w:ascii="Times New Roman" w:hAnsi="Times New Roman"/>
          <w:iCs/>
          <w:sz w:val="28"/>
          <w:szCs w:val="28"/>
          <w:lang w:val="kk-KZ"/>
        </w:rPr>
        <w:t>30,3</w:t>
      </w:r>
      <w:r>
        <w:rPr>
          <w:rFonts w:ascii="Times New Roman" w:hAnsi="Times New Roman"/>
          <w:iCs/>
          <w:sz w:val="28"/>
          <w:szCs w:val="28"/>
          <w:lang w:val="kk-KZ"/>
        </w:rPr>
        <w:t xml:space="preserve"> млн. 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w:t>
      </w:r>
      <w:r w:rsidR="00CB4087">
        <w:rPr>
          <w:rFonts w:ascii="Times New Roman" w:hAnsi="Times New Roman"/>
          <w:iCs/>
          <w:sz w:val="28"/>
          <w:szCs w:val="28"/>
          <w:lang w:val="kk-KZ"/>
        </w:rPr>
        <w:t>56,3</w:t>
      </w:r>
      <w:r w:rsidRPr="00A84C37">
        <w:rPr>
          <w:rFonts w:ascii="Times New Roman" w:hAnsi="Times New Roman"/>
          <w:iCs/>
          <w:sz w:val="28"/>
          <w:szCs w:val="28"/>
          <w:lang w:val="kk-KZ"/>
        </w:rPr>
        <w:t xml:space="preserve"> млн.теңге, </w:t>
      </w:r>
    </w:p>
    <w:p w:rsidR="00CB408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w:t>
      </w:r>
      <w:r w:rsidR="00C859E8">
        <w:rPr>
          <w:rFonts w:ascii="Times New Roman" w:hAnsi="Times New Roman"/>
          <w:iCs/>
          <w:sz w:val="28"/>
          <w:szCs w:val="28"/>
          <w:lang w:val="kk-KZ"/>
        </w:rPr>
        <w:t>27</w:t>
      </w:r>
      <w:r w:rsidR="004E463B">
        <w:rPr>
          <w:rFonts w:ascii="Times New Roman" w:hAnsi="Times New Roman"/>
          <w:iCs/>
          <w:sz w:val="28"/>
          <w:szCs w:val="28"/>
          <w:lang w:val="kk-KZ"/>
        </w:rPr>
        <w:t>,2</w:t>
      </w:r>
      <w:r>
        <w:rPr>
          <w:rFonts w:ascii="Times New Roman" w:hAnsi="Times New Roman"/>
          <w:iCs/>
          <w:sz w:val="28"/>
          <w:szCs w:val="28"/>
          <w:lang w:val="kk-KZ"/>
        </w:rPr>
        <w:t xml:space="preserve"> млн.теңге,</w:t>
      </w:r>
    </w:p>
    <w:p w:rsidR="00CB4087" w:rsidRPr="00A84C3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Pr>
          <w:rFonts w:ascii="Times New Roman" w:hAnsi="Times New Roman"/>
          <w:iCs/>
          <w:sz w:val="28"/>
          <w:szCs w:val="28"/>
          <w:lang w:val="kk-KZ"/>
        </w:rPr>
        <w:t>36,7</w:t>
      </w:r>
      <w:r w:rsidRPr="00A84C37">
        <w:rPr>
          <w:rFonts w:ascii="Times New Roman" w:hAnsi="Times New Roman"/>
          <w:iCs/>
          <w:sz w:val="28"/>
          <w:szCs w:val="28"/>
          <w:lang w:val="kk-KZ"/>
        </w:rPr>
        <w:t xml:space="preserve"> млн.теңге, </w:t>
      </w:r>
    </w:p>
    <w:p w:rsidR="00CB4087" w:rsidRDefault="00CB4087" w:rsidP="00CB4087">
      <w:pPr>
        <w:spacing w:after="0"/>
        <w:ind w:firstLine="708"/>
        <w:jc w:val="both"/>
        <w:rPr>
          <w:rFonts w:ascii="Times New Roman" w:hAnsi="Times New Roman"/>
          <w:iCs/>
          <w:sz w:val="28"/>
          <w:szCs w:val="28"/>
          <w:lang w:val="kk-KZ"/>
        </w:rPr>
      </w:pPr>
      <w:r>
        <w:rPr>
          <w:rFonts w:ascii="Times New Roman" w:hAnsi="Times New Roman"/>
          <w:iCs/>
          <w:sz w:val="28"/>
          <w:szCs w:val="28"/>
          <w:lang w:val="kk-KZ"/>
        </w:rPr>
        <w:t>Мүгедектерді жұмысқа орналастыру үшін арнайы жұмыс орындарын құруға жұмыс берушінің шығындарын субсидиялауға</w:t>
      </w:r>
      <w:r w:rsidR="005B3565">
        <w:rPr>
          <w:rFonts w:ascii="Times New Roman" w:hAnsi="Times New Roman"/>
          <w:iCs/>
          <w:sz w:val="28"/>
          <w:szCs w:val="28"/>
          <w:lang w:val="kk-KZ"/>
        </w:rPr>
        <w:t xml:space="preserve"> – 2,0 млн. теңге</w:t>
      </w:r>
      <w:r>
        <w:rPr>
          <w:rFonts w:ascii="Times New Roman" w:hAnsi="Times New Roman"/>
          <w:iCs/>
          <w:sz w:val="28"/>
          <w:szCs w:val="28"/>
          <w:lang w:val="kk-KZ"/>
        </w:rPr>
        <w:t>,</w:t>
      </w:r>
    </w:p>
    <w:p w:rsidR="00CB4087" w:rsidRPr="00A84C3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«Инватакси» қызметтерін дамытуға мемлекеттік тапсырысты орналастыруға -</w:t>
      </w:r>
      <w:r>
        <w:rPr>
          <w:rFonts w:ascii="Times New Roman" w:hAnsi="Times New Roman"/>
          <w:iCs/>
          <w:sz w:val="28"/>
          <w:szCs w:val="28"/>
          <w:lang w:val="kk-KZ"/>
        </w:rPr>
        <w:t>5,2</w:t>
      </w:r>
      <w:r w:rsidRPr="00A84C37">
        <w:rPr>
          <w:rFonts w:ascii="Times New Roman" w:hAnsi="Times New Roman"/>
          <w:iCs/>
          <w:sz w:val="28"/>
          <w:szCs w:val="28"/>
          <w:lang w:val="kk-KZ"/>
        </w:rPr>
        <w:t xml:space="preserve"> млн. тенге, </w:t>
      </w:r>
    </w:p>
    <w:p w:rsidR="00CB4087" w:rsidRPr="00A84C37" w:rsidRDefault="00CB4087" w:rsidP="00CB408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Мүгедектер </w:t>
      </w:r>
      <w:r w:rsidRPr="00A84C37">
        <w:rPr>
          <w:rFonts w:ascii="Times New Roman" w:hAnsi="Times New Roman"/>
          <w:iCs/>
          <w:sz w:val="28"/>
          <w:szCs w:val="28"/>
          <w:lang w:val="kk-KZ"/>
        </w:rPr>
        <w:t>және кәрілерге мемлекеттік әлеуметтік тапсырыс аясында арнайы әлеуметтік қызметтерді көрсетуге -11,5 млн.теңге,</w:t>
      </w:r>
    </w:p>
    <w:p w:rsidR="00CB4087" w:rsidRPr="00A84C37" w:rsidRDefault="00CB408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Pr>
          <w:rFonts w:ascii="Times New Roman" w:hAnsi="Times New Roman"/>
          <w:iCs/>
          <w:sz w:val="28"/>
          <w:szCs w:val="28"/>
          <w:lang w:val="kk-KZ"/>
        </w:rPr>
        <w:t xml:space="preserve"> өтеуге субсидиялар -5,9</w:t>
      </w:r>
      <w:r w:rsidRPr="00A84C37">
        <w:rPr>
          <w:rFonts w:ascii="Times New Roman" w:hAnsi="Times New Roman"/>
          <w:iCs/>
          <w:sz w:val="28"/>
          <w:szCs w:val="28"/>
          <w:lang w:val="kk-KZ"/>
        </w:rPr>
        <w:t xml:space="preserve"> млн.теңге, </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Қимыл тілдерінің мамандарының қызметіне – </w:t>
      </w:r>
      <w:r w:rsidR="00997FA7">
        <w:rPr>
          <w:rFonts w:ascii="Times New Roman" w:hAnsi="Times New Roman"/>
          <w:iCs/>
          <w:sz w:val="28"/>
          <w:szCs w:val="28"/>
          <w:lang w:val="kk-KZ"/>
        </w:rPr>
        <w:t>11,2</w:t>
      </w:r>
      <w:r w:rsidRPr="00A84C37">
        <w:rPr>
          <w:rFonts w:ascii="Times New Roman" w:hAnsi="Times New Roman"/>
          <w:iCs/>
          <w:sz w:val="28"/>
          <w:szCs w:val="28"/>
          <w:lang w:val="kk-KZ"/>
        </w:rPr>
        <w:t xml:space="preserve"> млн.теңге,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Жеке жұмыспен қамту агенттері арқылы жұмысқа орналастыруға – 6 млн. 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30 жылдыққа Ауғаныстаннан Кеңес әскерлерін шығаруға бір жолғы материалдық көмек төлеуге</w:t>
      </w:r>
      <w:r w:rsidR="005B3565">
        <w:rPr>
          <w:rFonts w:ascii="Times New Roman" w:hAnsi="Times New Roman"/>
          <w:iCs/>
          <w:sz w:val="28"/>
          <w:szCs w:val="28"/>
          <w:lang w:val="kk-KZ"/>
        </w:rPr>
        <w:t xml:space="preserve"> – </w:t>
      </w:r>
      <w:r w:rsidR="004E463B">
        <w:rPr>
          <w:rFonts w:ascii="Times New Roman" w:hAnsi="Times New Roman"/>
          <w:iCs/>
          <w:sz w:val="28"/>
          <w:szCs w:val="28"/>
          <w:lang w:val="kk-KZ"/>
        </w:rPr>
        <w:t>19,3</w:t>
      </w:r>
      <w:r w:rsidR="005B3565">
        <w:rPr>
          <w:rFonts w:ascii="Times New Roman" w:hAnsi="Times New Roman"/>
          <w:iCs/>
          <w:sz w:val="28"/>
          <w:szCs w:val="28"/>
          <w:lang w:val="kk-KZ"/>
        </w:rPr>
        <w:t xml:space="preserve"> млн. теңге</w:t>
      </w:r>
      <w:r>
        <w:rPr>
          <w:rFonts w:ascii="Times New Roman" w:hAnsi="Times New Roman"/>
          <w:iCs/>
          <w:sz w:val="28"/>
          <w:szCs w:val="28"/>
          <w:lang w:val="kk-KZ"/>
        </w:rPr>
        <w:t>,</w:t>
      </w:r>
    </w:p>
    <w:p w:rsidR="00997FA7" w:rsidRPr="00A84C37" w:rsidRDefault="00997FA7" w:rsidP="00A84C37">
      <w:pPr>
        <w:spacing w:after="0"/>
        <w:ind w:firstLine="708"/>
        <w:jc w:val="both"/>
        <w:rPr>
          <w:rFonts w:ascii="Times New Roman" w:hAnsi="Times New Roman"/>
          <w:iCs/>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2018</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2019</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997FA7" w:rsidP="00A84C37">
            <w:pPr>
              <w:tabs>
                <w:tab w:val="left" w:pos="615"/>
                <w:tab w:val="center" w:pos="965"/>
              </w:tabs>
              <w:spacing w:after="0" w:line="480" w:lineRule="auto"/>
              <w:jc w:val="center"/>
              <w:rPr>
                <w:rFonts w:ascii="Times New Roman" w:eastAsia="Times New Roman" w:hAnsi="Times New Roman"/>
                <w:bCs/>
                <w:i/>
                <w:sz w:val="24"/>
                <w:szCs w:val="24"/>
              </w:rPr>
            </w:pPr>
            <w:r>
              <w:rPr>
                <w:rFonts w:ascii="Times New Roman" w:eastAsia="Times New Roman" w:hAnsi="Times New Roman"/>
                <w:bCs/>
                <w:i/>
                <w:sz w:val="24"/>
                <w:szCs w:val="24"/>
                <w:lang w:val="kk-KZ" w:eastAsia="ru-RU"/>
              </w:rPr>
              <w:t>1041,3</w:t>
            </w:r>
          </w:p>
        </w:tc>
        <w:tc>
          <w:tcPr>
            <w:tcW w:w="3119" w:type="dxa"/>
            <w:tcBorders>
              <w:top w:val="single" w:sz="4" w:space="0" w:color="auto"/>
              <w:left w:val="nil"/>
              <w:bottom w:val="nil"/>
              <w:right w:val="nil"/>
            </w:tcBorders>
            <w:hideMark/>
          </w:tcPr>
          <w:p w:rsidR="00A84C37" w:rsidRPr="00A84C37" w:rsidRDefault="00C859E8" w:rsidP="00236C39">
            <w:pPr>
              <w:spacing w:after="0" w:line="240" w:lineRule="auto"/>
              <w:jc w:val="center"/>
              <w:rPr>
                <w:bCs/>
                <w:i/>
                <w:lang w:val="kk-KZ"/>
              </w:rPr>
            </w:pPr>
            <w:r>
              <w:rPr>
                <w:bCs/>
                <w:i/>
                <w:lang w:val="kk-KZ"/>
              </w:rPr>
              <w:t>1878,8</w:t>
            </w:r>
          </w:p>
        </w:tc>
        <w:tc>
          <w:tcPr>
            <w:tcW w:w="2657" w:type="dxa"/>
            <w:tcBorders>
              <w:top w:val="single" w:sz="4" w:space="0" w:color="auto"/>
              <w:left w:val="nil"/>
              <w:bottom w:val="nil"/>
              <w:right w:val="nil"/>
            </w:tcBorders>
            <w:hideMark/>
          </w:tcPr>
          <w:p w:rsidR="00A84C37" w:rsidRPr="00997FA7" w:rsidRDefault="00C859E8" w:rsidP="00236C39">
            <w:pPr>
              <w:spacing w:after="0" w:line="240" w:lineRule="auto"/>
              <w:jc w:val="center"/>
              <w:rPr>
                <w:i/>
                <w:color w:val="000000"/>
                <w:lang w:val="kk-KZ"/>
              </w:rPr>
            </w:pPr>
            <w:r>
              <w:rPr>
                <w:i/>
                <w:color w:val="000000"/>
                <w:lang w:val="kk-KZ" w:eastAsia="ru-RU"/>
              </w:rPr>
              <w:t>180,4</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Тұрғын-үй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w:t>
      </w:r>
      <w:proofErr w:type="gramStart"/>
      <w:r w:rsidR="003C682D">
        <w:rPr>
          <w:rFonts w:ascii="Times New Roman" w:hAnsi="Times New Roman"/>
          <w:sz w:val="28"/>
          <w:szCs w:val="28"/>
          <w:lang w:val="kk-KZ"/>
        </w:rPr>
        <w:t xml:space="preserve">бойынша  </w:t>
      </w:r>
      <w:r w:rsidR="00C859E8">
        <w:rPr>
          <w:rFonts w:ascii="Times New Roman" w:hAnsi="Times New Roman"/>
          <w:sz w:val="28"/>
          <w:szCs w:val="28"/>
          <w:lang w:val="kk-KZ"/>
        </w:rPr>
        <w:t>8</w:t>
      </w:r>
      <w:proofErr w:type="gramEnd"/>
      <w:r w:rsidR="00C859E8">
        <w:rPr>
          <w:rFonts w:ascii="Times New Roman" w:hAnsi="Times New Roman"/>
          <w:sz w:val="28"/>
          <w:szCs w:val="28"/>
          <w:lang w:val="kk-KZ"/>
        </w:rPr>
        <w:t> 656,5</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997FA7" w:rsidRPr="006E51ED"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lastRenderedPageBreak/>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630515" w:rsidRDefault="00A84C37" w:rsidP="006E51ED">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6E51ED">
        <w:rPr>
          <w:rFonts w:ascii="Times New Roman" w:hAnsi="Times New Roman"/>
          <w:sz w:val="28"/>
          <w:szCs w:val="28"/>
          <w:lang w:val="kk-KZ"/>
        </w:rPr>
        <w:t>449,3</w:t>
      </w:r>
      <w:r w:rsidRPr="00A84C37">
        <w:rPr>
          <w:rFonts w:ascii="Times New Roman" w:hAnsi="Times New Roman"/>
          <w:sz w:val="28"/>
          <w:szCs w:val="28"/>
          <w:lang w:val="kk-KZ"/>
        </w:rPr>
        <w:t xml:space="preserve"> млн теңге сомасында Абай-Тәшенов-Әуезов-Пушкина көшелерінің аула аумағын </w:t>
      </w:r>
      <w:r w:rsidR="006E51ED">
        <w:rPr>
          <w:rFonts w:ascii="Times New Roman" w:hAnsi="Times New Roman"/>
          <w:sz w:val="28"/>
          <w:szCs w:val="28"/>
          <w:lang w:val="kk-KZ"/>
        </w:rPr>
        <w:t xml:space="preserve">күрделі </w:t>
      </w:r>
      <w:r w:rsidRPr="00A84C37">
        <w:rPr>
          <w:rFonts w:ascii="Times New Roman" w:hAnsi="Times New Roman"/>
          <w:sz w:val="28"/>
          <w:szCs w:val="28"/>
          <w:lang w:val="kk-KZ"/>
        </w:rPr>
        <w:t xml:space="preserve">жөндеуге </w:t>
      </w:r>
      <w:r w:rsidR="00274FBF">
        <w:rPr>
          <w:rFonts w:ascii="Times New Roman" w:hAnsi="Times New Roman"/>
          <w:sz w:val="28"/>
          <w:szCs w:val="28"/>
          <w:lang w:val="kk-KZ"/>
        </w:rPr>
        <w:t>және</w:t>
      </w:r>
      <w:r w:rsidR="006E51ED">
        <w:rPr>
          <w:rFonts w:ascii="Times New Roman" w:hAnsi="Times New Roman"/>
          <w:sz w:val="28"/>
          <w:szCs w:val="28"/>
          <w:lang w:val="kk-KZ"/>
        </w:rPr>
        <w:t xml:space="preserve"> комуналдық меншіктегі объектілердіжөндеуге.</w:t>
      </w:r>
      <w:r w:rsidR="00274FBF">
        <w:rPr>
          <w:rFonts w:ascii="Times New Roman" w:hAnsi="Times New Roman"/>
          <w:sz w:val="28"/>
          <w:szCs w:val="28"/>
          <w:lang w:val="kk-KZ"/>
        </w:rPr>
        <w:t xml:space="preserve"> </w:t>
      </w:r>
      <w:r w:rsidR="006E2CF6">
        <w:rPr>
          <w:rFonts w:ascii="Times New Roman" w:hAnsi="Times New Roman"/>
          <w:sz w:val="28"/>
          <w:szCs w:val="28"/>
          <w:lang w:val="kk-KZ"/>
        </w:rPr>
        <w:t xml:space="preserve">Сондай-ақ, </w:t>
      </w:r>
      <w:r w:rsidR="00630515">
        <w:rPr>
          <w:rFonts w:ascii="Times New Roman" w:hAnsi="Times New Roman"/>
          <w:sz w:val="28"/>
          <w:szCs w:val="28"/>
          <w:lang w:val="kk-KZ"/>
        </w:rPr>
        <w:t>ә</w:t>
      </w:r>
      <w:r w:rsidR="00630515" w:rsidRPr="00630515">
        <w:rPr>
          <w:rFonts w:ascii="Times New Roman" w:eastAsia="Times New Roman" w:hAnsi="Times New Roman"/>
          <w:sz w:val="28"/>
          <w:szCs w:val="28"/>
          <w:lang w:val="kk-KZ" w:eastAsia="ru-RU"/>
        </w:rPr>
        <w:t xml:space="preserve">леуметтік маңызы бар </w:t>
      </w:r>
      <w:r w:rsidR="00630515">
        <w:rPr>
          <w:rFonts w:ascii="Times New Roman" w:eastAsia="Times New Roman" w:hAnsi="Times New Roman"/>
          <w:sz w:val="28"/>
          <w:szCs w:val="28"/>
          <w:lang w:val="kk-KZ" w:eastAsia="ru-RU"/>
        </w:rPr>
        <w:t>маршруттарды жүзеге асырумен байланысқан тасымалдаушылардың шығындарын субсидиялауға 139,5 млн. теңге, мемлекеттік қажеттілік үшін жер учаскелерін алуға 636,2 млн. теңге, санитариямен қамтамасыз етуге 20,0 млн. теңге сомаында қаражат қарастырылды.</w:t>
      </w:r>
    </w:p>
    <w:p w:rsidR="006E51ED" w:rsidRDefault="00A84C37" w:rsidP="006E51ED">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w:t>
      </w:r>
      <w:r w:rsidRPr="006E51ED">
        <w:rPr>
          <w:rFonts w:ascii="Times New Roman" w:hAnsi="Times New Roman"/>
          <w:sz w:val="28"/>
          <w:szCs w:val="28"/>
          <w:lang w:val="kk-KZ"/>
        </w:rPr>
        <w:t>тұрғын-үй құрылысы</w:t>
      </w:r>
      <w:r w:rsidRPr="00A84C37">
        <w:rPr>
          <w:rFonts w:ascii="Times New Roman" w:hAnsi="Times New Roman"/>
          <w:sz w:val="28"/>
          <w:szCs w:val="28"/>
          <w:lang w:val="kk-KZ"/>
        </w:rPr>
        <w:t xml:space="preserve"> </w:t>
      </w:r>
      <w:r w:rsidR="006E51ED">
        <w:rPr>
          <w:rFonts w:ascii="Times New Roman" w:hAnsi="Times New Roman"/>
          <w:sz w:val="28"/>
          <w:szCs w:val="28"/>
          <w:lang w:val="kk-KZ"/>
        </w:rPr>
        <w:t>жалғасуда, осы мақсатқа республикалық және облыстық бюджет трансферттері есебінен 697 млн. теңге сомасында, сондай-ақ мемлекеттік бағалы қағаздарды шығару арқылы тұрғын үйді несиелеу есебінен 1,5 млрд. теңге көп пәтерлі тұрғын үй құрылысына қаражаттар бөлінді.</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w:t>
      </w:r>
      <w:r w:rsidR="00535BEC">
        <w:rPr>
          <w:rFonts w:ascii="Times New Roman" w:hAnsi="Times New Roman"/>
          <w:sz w:val="28"/>
          <w:szCs w:val="28"/>
          <w:lang w:val="kk-KZ"/>
        </w:rPr>
        <w:t xml:space="preserve">нерлік желілер құрылысына </w:t>
      </w:r>
      <w:r w:rsidR="00022AAF">
        <w:rPr>
          <w:rFonts w:ascii="Times New Roman" w:hAnsi="Times New Roman"/>
          <w:sz w:val="28"/>
          <w:szCs w:val="28"/>
          <w:lang w:val="kk-KZ"/>
        </w:rPr>
        <w:t>2779,6</w:t>
      </w:r>
      <w:r w:rsidRPr="00A84C37">
        <w:rPr>
          <w:rFonts w:ascii="Times New Roman" w:hAnsi="Times New Roman"/>
          <w:sz w:val="28"/>
          <w:szCs w:val="28"/>
          <w:lang w:val="kk-KZ"/>
        </w:rPr>
        <w:t xml:space="preserve"> млн. теңге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6E51ED" w:rsidRDefault="006E51ED"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8071,3</w:t>
            </w:r>
          </w:p>
        </w:tc>
        <w:tc>
          <w:tcPr>
            <w:tcW w:w="3119" w:type="dxa"/>
            <w:tcBorders>
              <w:top w:val="single" w:sz="4" w:space="0" w:color="auto"/>
              <w:left w:val="nil"/>
              <w:bottom w:val="nil"/>
              <w:right w:val="nil"/>
            </w:tcBorders>
            <w:hideMark/>
          </w:tcPr>
          <w:p w:rsidR="00A84C37" w:rsidRPr="00A84C37" w:rsidRDefault="00C859E8" w:rsidP="00274FBF">
            <w:pPr>
              <w:spacing w:after="0" w:line="240" w:lineRule="auto"/>
              <w:jc w:val="center"/>
              <w:rPr>
                <w:bCs/>
                <w:i/>
                <w:lang w:val="kk-KZ"/>
              </w:rPr>
            </w:pPr>
            <w:r>
              <w:rPr>
                <w:bCs/>
                <w:i/>
                <w:lang w:val="kk-KZ"/>
              </w:rPr>
              <w:t>8656,5</w:t>
            </w:r>
          </w:p>
        </w:tc>
        <w:tc>
          <w:tcPr>
            <w:tcW w:w="2657" w:type="dxa"/>
            <w:tcBorders>
              <w:top w:val="single" w:sz="4" w:space="0" w:color="auto"/>
              <w:left w:val="nil"/>
              <w:bottom w:val="nil"/>
              <w:right w:val="nil"/>
            </w:tcBorders>
            <w:hideMark/>
          </w:tcPr>
          <w:p w:rsidR="00A84C37" w:rsidRPr="00535BEC" w:rsidRDefault="00C859E8" w:rsidP="00274FBF">
            <w:pPr>
              <w:spacing w:after="0" w:line="240" w:lineRule="auto"/>
              <w:jc w:val="center"/>
              <w:rPr>
                <w:i/>
                <w:color w:val="000000"/>
                <w:lang w:val="kk-KZ"/>
              </w:rPr>
            </w:pPr>
            <w:r>
              <w:rPr>
                <w:i/>
                <w:color w:val="000000"/>
                <w:lang w:val="kk-KZ" w:eastAsia="ru-RU"/>
              </w:rPr>
              <w:t>107,3</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кеңістік</w:t>
      </w:r>
      <w:proofErr w:type="spellEnd"/>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w:t>
      </w:r>
      <w:r w:rsidR="00722FE6">
        <w:rPr>
          <w:rFonts w:ascii="Times New Roman" w:hAnsi="Times New Roman"/>
          <w:sz w:val="28"/>
          <w:szCs w:val="28"/>
          <w:lang w:val="kk-KZ"/>
        </w:rPr>
        <w:t>510,9</w:t>
      </w:r>
      <w:r w:rsidR="0046055C" w:rsidRPr="0046055C">
        <w:rPr>
          <w:rFonts w:ascii="Times New Roman" w:hAnsi="Times New Roman"/>
          <w:sz w:val="28"/>
          <w:szCs w:val="28"/>
        </w:rPr>
        <w:t xml:space="preserve"> 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бұқаралық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органдардың</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жұмыс</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істеуін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қамтамасыз</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ету</w:t>
      </w:r>
      <w:proofErr w:type="spellEnd"/>
      <w:r>
        <w:rPr>
          <w:rFonts w:ascii="Times New Roman" w:hAnsi="Times New Roman"/>
          <w:sz w:val="28"/>
          <w:szCs w:val="28"/>
          <w:lang w:val="kk-KZ"/>
        </w:rPr>
        <w:t>ге</w:t>
      </w:r>
      <w:r w:rsidRPr="0046055C">
        <w:rPr>
          <w:rFonts w:ascii="Times New Roman" w:hAnsi="Times New Roman"/>
          <w:sz w:val="28"/>
          <w:szCs w:val="28"/>
        </w:rPr>
        <w:t xml:space="preserve"> (</w:t>
      </w:r>
      <w:proofErr w:type="spellStart"/>
      <w:r w:rsidRPr="0046055C">
        <w:rPr>
          <w:rFonts w:ascii="Times New Roman" w:hAnsi="Times New Roman"/>
          <w:sz w:val="28"/>
          <w:szCs w:val="28"/>
        </w:rPr>
        <w:t>мәдениет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lastRenderedPageBreak/>
        <w:t>және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тілдерді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дамыту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ішкі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дене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шынықтыру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спорт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sidR="006E51ED">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sidR="006E51ED">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6E51ED" w:rsidRDefault="006E51ED"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702,2</w:t>
            </w:r>
          </w:p>
        </w:tc>
        <w:tc>
          <w:tcPr>
            <w:tcW w:w="3119" w:type="dxa"/>
            <w:tcBorders>
              <w:top w:val="single" w:sz="4" w:space="0" w:color="auto"/>
              <w:left w:val="nil"/>
              <w:bottom w:val="nil"/>
              <w:right w:val="nil"/>
            </w:tcBorders>
          </w:tcPr>
          <w:p w:rsidR="00142537" w:rsidRPr="00CE4CD2" w:rsidRDefault="00722FE6"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510,9</w:t>
            </w:r>
          </w:p>
        </w:tc>
        <w:tc>
          <w:tcPr>
            <w:tcW w:w="2657" w:type="dxa"/>
            <w:tcBorders>
              <w:top w:val="single" w:sz="4" w:space="0" w:color="auto"/>
              <w:left w:val="nil"/>
              <w:bottom w:val="nil"/>
              <w:right w:val="nil"/>
            </w:tcBorders>
          </w:tcPr>
          <w:p w:rsidR="00142537" w:rsidRPr="003C39A5" w:rsidRDefault="00722FE6"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72,8</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630515">
        <w:rPr>
          <w:rFonts w:ascii="Times New Roman" w:hAnsi="Times New Roman"/>
          <w:sz w:val="28"/>
          <w:szCs w:val="28"/>
          <w:lang w:val="kk-KZ"/>
        </w:rPr>
        <w:t>95,7</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w:t>
      </w:r>
      <w:r w:rsidR="00AB472B">
        <w:rPr>
          <w:rFonts w:ascii="Times New Roman" w:hAnsi="Times New Roman"/>
          <w:sz w:val="28"/>
          <w:szCs w:val="28"/>
          <w:lang w:val="kk-KZ"/>
        </w:rPr>
        <w:t xml:space="preserve">ыру үшін </w:t>
      </w:r>
      <w:r w:rsidR="00F762C6">
        <w:rPr>
          <w:rFonts w:ascii="Times New Roman" w:hAnsi="Times New Roman"/>
          <w:sz w:val="28"/>
          <w:szCs w:val="28"/>
          <w:lang w:val="kk-KZ"/>
        </w:rPr>
        <w:t>60,6</w:t>
      </w:r>
      <w:r w:rsidRPr="002E70FD">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 xml:space="preserve">пизоотияға қарсы іс-шаралар және құнын иелеріне өтеу ауыл шаруашылығы жануарларын санитарлық союға жіберілген </w:t>
      </w:r>
      <w:r w:rsidR="00F762C6">
        <w:rPr>
          <w:rFonts w:eastAsia="Calibri"/>
          <w:sz w:val="28"/>
          <w:szCs w:val="28"/>
          <w:lang w:val="kk-KZ" w:eastAsia="en-US"/>
        </w:rPr>
        <w:t>8,5</w:t>
      </w:r>
      <w:r w:rsidRPr="002E22B8">
        <w:rPr>
          <w:rFonts w:eastAsia="Calibri"/>
          <w:sz w:val="28"/>
          <w:szCs w:val="28"/>
          <w:lang w:val="kk-KZ" w:eastAsia="en-US"/>
        </w:rPr>
        <w:t xml:space="preserve">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92,8</w:t>
            </w:r>
          </w:p>
        </w:tc>
        <w:tc>
          <w:tcPr>
            <w:tcW w:w="3119" w:type="dxa"/>
            <w:tcBorders>
              <w:top w:val="single" w:sz="4" w:space="0" w:color="auto"/>
              <w:left w:val="nil"/>
              <w:bottom w:val="nil"/>
              <w:right w:val="nil"/>
            </w:tcBorders>
          </w:tcPr>
          <w:p w:rsidR="00142537" w:rsidRPr="00CE4CD2" w:rsidRDefault="00630515" w:rsidP="005B3565">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w:t>
            </w:r>
            <w:r w:rsidR="005B3565">
              <w:rPr>
                <w:rStyle w:val="a5"/>
                <w:rFonts w:ascii="Times New Roman" w:hAnsi="Times New Roman"/>
                <w:b w:val="0"/>
                <w:i/>
                <w:lang w:val="kk-KZ"/>
              </w:rPr>
              <w:t>5,7</w:t>
            </w:r>
          </w:p>
        </w:tc>
        <w:tc>
          <w:tcPr>
            <w:tcW w:w="2657" w:type="dxa"/>
            <w:tcBorders>
              <w:top w:val="single" w:sz="4" w:space="0" w:color="auto"/>
              <w:left w:val="nil"/>
              <w:bottom w:val="nil"/>
              <w:right w:val="nil"/>
            </w:tcBorders>
          </w:tcPr>
          <w:p w:rsidR="00142537" w:rsidRPr="00535BEC" w:rsidRDefault="00630515" w:rsidP="00AB472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103,1</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t>Өнеркәсіп</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722FE6">
        <w:rPr>
          <w:rFonts w:eastAsia="Calibri"/>
          <w:sz w:val="28"/>
          <w:szCs w:val="28"/>
          <w:lang w:val="kk-KZ" w:eastAsia="en-US"/>
        </w:rPr>
        <w:t>91,7</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F762C6">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77,9</w:t>
            </w:r>
          </w:p>
        </w:tc>
        <w:tc>
          <w:tcPr>
            <w:tcW w:w="3119" w:type="dxa"/>
            <w:tcBorders>
              <w:top w:val="single" w:sz="4" w:space="0" w:color="auto"/>
              <w:left w:val="nil"/>
              <w:bottom w:val="nil"/>
              <w:right w:val="nil"/>
            </w:tcBorders>
          </w:tcPr>
          <w:p w:rsidR="00142537" w:rsidRPr="00CE4CD2" w:rsidRDefault="00722FE6"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91,7</w:t>
            </w:r>
          </w:p>
        </w:tc>
        <w:tc>
          <w:tcPr>
            <w:tcW w:w="2657" w:type="dxa"/>
            <w:tcBorders>
              <w:top w:val="single" w:sz="4" w:space="0" w:color="auto"/>
              <w:left w:val="nil"/>
              <w:bottom w:val="nil"/>
              <w:right w:val="nil"/>
            </w:tcBorders>
          </w:tcPr>
          <w:p w:rsidR="00142537" w:rsidRPr="009E0420" w:rsidRDefault="00722FE6"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117,7</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lastRenderedPageBreak/>
        <w:t>Көлік</w:t>
      </w:r>
      <w:proofErr w:type="spell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722FE6">
        <w:rPr>
          <w:rFonts w:ascii="Times New Roman" w:hAnsi="Times New Roman"/>
          <w:sz w:val="28"/>
          <w:szCs w:val="28"/>
          <w:lang w:val="kk-KZ"/>
        </w:rPr>
        <w:t>2188,0</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w:t>
      </w:r>
      <w:r w:rsidR="00F762C6">
        <w:rPr>
          <w:rFonts w:ascii="Times New Roman" w:hAnsi="Times New Roman"/>
          <w:sz w:val="28"/>
          <w:szCs w:val="28"/>
          <w:lang w:val="kk-KZ"/>
        </w:rPr>
        <w:t xml:space="preserve"> жол телімінде себу, жобалау және қабатын тығыздау, саяжай алабын ағымдағы жөндеуге,</w:t>
      </w:r>
      <w:r w:rsidRPr="009E6C1E">
        <w:rPr>
          <w:rFonts w:ascii="Times New Roman" w:hAnsi="Times New Roman"/>
          <w:sz w:val="28"/>
          <w:szCs w:val="28"/>
          <w:lang w:val="kk-KZ"/>
        </w:rPr>
        <w:t xml:space="preserve"> көпірді </w:t>
      </w:r>
      <w:r w:rsidR="00F762C6">
        <w:rPr>
          <w:rFonts w:ascii="Times New Roman" w:hAnsi="Times New Roman"/>
          <w:sz w:val="28"/>
          <w:szCs w:val="28"/>
          <w:lang w:val="kk-KZ"/>
        </w:rPr>
        <w:t>қайта құруға</w:t>
      </w:r>
      <w:r w:rsidRPr="009E6C1E">
        <w:rPr>
          <w:rFonts w:ascii="Times New Roman" w:hAnsi="Times New Roman"/>
          <w:sz w:val="28"/>
          <w:szCs w:val="28"/>
          <w:lang w:val="kk-KZ"/>
        </w:rPr>
        <w:t xml:space="preserve"> және </w:t>
      </w:r>
      <w:r w:rsidR="00F762C6">
        <w:rPr>
          <w:rFonts w:ascii="Times New Roman" w:hAnsi="Times New Roman"/>
          <w:sz w:val="28"/>
          <w:szCs w:val="28"/>
          <w:lang w:val="kk-KZ"/>
        </w:rPr>
        <w:t>жолды</w:t>
      </w:r>
      <w:r w:rsidRPr="009E6C1E">
        <w:rPr>
          <w:rFonts w:ascii="Times New Roman" w:hAnsi="Times New Roman"/>
          <w:sz w:val="28"/>
          <w:szCs w:val="28"/>
          <w:lang w:val="kk-KZ"/>
        </w:rPr>
        <w:t xml:space="preserve"> қайта құруға ЖСҚ әзірлеу.</w:t>
      </w:r>
    </w:p>
    <w:p w:rsidR="00F762C6"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630515">
        <w:rPr>
          <w:rFonts w:ascii="Times New Roman" w:hAnsi="Times New Roman"/>
          <w:sz w:val="28"/>
          <w:szCs w:val="28"/>
          <w:lang w:val="kk-KZ"/>
        </w:rPr>
        <w:t>1384,0</w:t>
      </w:r>
      <w:r w:rsidRPr="009E6C1E">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қарастырылған</w:t>
      </w:r>
      <w:r w:rsidR="00F762C6">
        <w:rPr>
          <w:rFonts w:ascii="Times New Roman" w:hAnsi="Times New Roman"/>
          <w:sz w:val="28"/>
          <w:szCs w:val="28"/>
          <w:lang w:val="kk-KZ"/>
        </w:rPr>
        <w:t>:</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74FBF">
        <w:rPr>
          <w:rFonts w:ascii="Times New Roman" w:hAnsi="Times New Roman"/>
          <w:sz w:val="28"/>
          <w:szCs w:val="28"/>
          <w:lang w:val="kk-KZ"/>
        </w:rPr>
        <w:t>- Көкшетау қаласының көше-жол желісін жөндеуге (Бейбітшілік к-сі, Наурызбай батыр көшесі, Вавилов)-</w:t>
      </w:r>
      <w:r w:rsidR="00630515">
        <w:rPr>
          <w:rFonts w:ascii="Times New Roman" w:hAnsi="Times New Roman"/>
          <w:sz w:val="28"/>
          <w:szCs w:val="28"/>
          <w:lang w:val="kk-KZ"/>
        </w:rPr>
        <w:t>8</w:t>
      </w:r>
      <w:r>
        <w:rPr>
          <w:rFonts w:ascii="Times New Roman" w:hAnsi="Times New Roman"/>
          <w:sz w:val="28"/>
          <w:szCs w:val="28"/>
          <w:lang w:val="kk-KZ"/>
        </w:rPr>
        <w:t>45,7 млн. теңге;</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Мәлік </w:t>
      </w:r>
      <w:r w:rsidR="009E6C1E" w:rsidRPr="009E6C1E">
        <w:rPr>
          <w:rFonts w:ascii="Times New Roman" w:hAnsi="Times New Roman"/>
          <w:sz w:val="28"/>
          <w:szCs w:val="28"/>
          <w:lang w:val="kk-KZ"/>
        </w:rPr>
        <w:t>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 xml:space="preserve">қайта </w:t>
      </w:r>
      <w:r w:rsidR="00CA301E">
        <w:rPr>
          <w:rFonts w:ascii="Times New Roman" w:hAnsi="Times New Roman"/>
          <w:sz w:val="28"/>
          <w:szCs w:val="28"/>
          <w:lang w:val="kk-KZ"/>
        </w:rPr>
        <w:t>жаңартуға</w:t>
      </w:r>
      <w:r w:rsidR="009E6C1E"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даңғылына дейін</w:t>
      </w:r>
      <w:r>
        <w:rPr>
          <w:rFonts w:ascii="Times New Roman" w:hAnsi="Times New Roman"/>
          <w:sz w:val="28"/>
          <w:szCs w:val="28"/>
          <w:lang w:val="kk-KZ"/>
        </w:rPr>
        <w:t>) 55 млн. теңге сомасында;</w:t>
      </w:r>
    </w:p>
    <w:p w:rsidR="009E6C1E" w:rsidRDefault="009E6C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 </w:t>
      </w:r>
      <w:r w:rsidR="00AB472B">
        <w:rPr>
          <w:rFonts w:ascii="Times New Roman" w:hAnsi="Times New Roman"/>
          <w:sz w:val="28"/>
          <w:szCs w:val="28"/>
          <w:lang w:val="kk-KZ"/>
        </w:rPr>
        <w:t>–</w:t>
      </w:r>
      <w:r w:rsidR="002F6B9C" w:rsidRPr="009E6C1E">
        <w:rPr>
          <w:rFonts w:ascii="Times New Roman" w:hAnsi="Times New Roman"/>
          <w:sz w:val="28"/>
          <w:szCs w:val="28"/>
          <w:lang w:val="kk-KZ"/>
        </w:rPr>
        <w:t xml:space="preserve">Қылшақты өзені арқылы өтетін </w:t>
      </w:r>
      <w:r w:rsidR="00CA301E">
        <w:rPr>
          <w:rFonts w:ascii="Times New Roman" w:hAnsi="Times New Roman"/>
          <w:sz w:val="28"/>
          <w:szCs w:val="28"/>
          <w:lang w:val="kk-KZ"/>
        </w:rPr>
        <w:t xml:space="preserve">Мәлік </w:t>
      </w:r>
      <w:r w:rsidR="002F6B9C" w:rsidRPr="009E6C1E">
        <w:rPr>
          <w:rFonts w:ascii="Times New Roman" w:hAnsi="Times New Roman"/>
          <w:sz w:val="28"/>
          <w:szCs w:val="28"/>
          <w:lang w:val="kk-KZ"/>
        </w:rPr>
        <w:t xml:space="preserve">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 xml:space="preserve">қайта жаңарту – </w:t>
      </w:r>
      <w:r w:rsidR="00CA301E">
        <w:rPr>
          <w:rFonts w:ascii="Times New Roman" w:hAnsi="Times New Roman"/>
          <w:sz w:val="28"/>
          <w:szCs w:val="28"/>
          <w:lang w:val="kk-KZ"/>
        </w:rPr>
        <w:t>199,3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-Көкшетау қаласында </w:t>
      </w:r>
      <w:r w:rsidR="00630515">
        <w:rPr>
          <w:rFonts w:ascii="Times New Roman" w:hAnsi="Times New Roman"/>
          <w:sz w:val="28"/>
          <w:szCs w:val="28"/>
          <w:lang w:val="kk-KZ"/>
        </w:rPr>
        <w:t xml:space="preserve">Мәлік Ғабдуллин көшесі бойынша </w:t>
      </w:r>
      <w:r>
        <w:rPr>
          <w:rFonts w:ascii="Times New Roman" w:hAnsi="Times New Roman"/>
          <w:sz w:val="28"/>
          <w:szCs w:val="28"/>
          <w:lang w:val="kk-KZ"/>
        </w:rPr>
        <w:t>(М. Әуезов к-нен бастап Акан сері к-не дейін) жолды қайта жаңарту – 200,0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Центральный шағын ауданынан Сарыарқа шағын ауданына дейінгі Мәлік Ғабдуллин көшесі автожолын реконструкциялауға кешенді ведомстводан тыс сараптама жүргізу мен жобалау-сметалық құжаттама әзірлеу – 21,5 млн.теңге;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Көкшетау қаласындағы Абылай-хан даңғылынан ескі әуежайға дейінгі Нұрсұлтан Назарбаев даңғылының жолын реконструкциялауға кешенді ведомстводан тыс сараптама жүргізу мен жобалау-сметалық құжаттама әзірлеу</w:t>
      </w:r>
      <w:r>
        <w:rPr>
          <w:rFonts w:ascii="Times New Roman" w:hAnsi="Times New Roman"/>
          <w:sz w:val="28"/>
          <w:szCs w:val="28"/>
          <w:lang w:val="kk-KZ"/>
        </w:rPr>
        <w:t xml:space="preserve"> – 18,4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Көкшетау қаласы Васильковский, Көктем және Сарыарқа шағын аудандары арасындағы жол құрылысына кешенді ведомстводан тыс сараптама жүргізу мен ЖСҚ әзірлеу</w:t>
      </w:r>
      <w:r>
        <w:rPr>
          <w:rFonts w:ascii="Times New Roman" w:hAnsi="Times New Roman"/>
          <w:sz w:val="28"/>
          <w:szCs w:val="28"/>
          <w:lang w:val="kk-KZ"/>
        </w:rPr>
        <w:t xml:space="preserve"> – 17,7 млн. теңге;</w:t>
      </w:r>
    </w:p>
    <w:p w:rsidR="0067791E" w:rsidRP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-Басқа іс-шараларға ЖСҚ әзірлеу – 26,4 млн. теңге.</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Қалалық бюджет есебінен «Көкшетау қаласында Абылай хан даңғылынан бұрынғы әуежайға дейін Горький көшесінің жолын қ</w:t>
      </w:r>
      <w:r w:rsidR="0067791E">
        <w:rPr>
          <w:rFonts w:ascii="Times New Roman" w:hAnsi="Times New Roman"/>
          <w:sz w:val="28"/>
          <w:szCs w:val="28"/>
          <w:lang w:val="kk-KZ"/>
        </w:rPr>
        <w:t>айта жаңартуға» ЖСҚ әзірлеуге 65</w:t>
      </w:r>
      <w:r>
        <w:rPr>
          <w:rFonts w:ascii="Times New Roman" w:hAnsi="Times New Roman"/>
          <w:sz w:val="28"/>
          <w:szCs w:val="28"/>
          <w:lang w:val="kk-KZ"/>
        </w:rPr>
        <w:t>,3 млн. теңге қарастырылды.</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CA301E" w:rsidP="00274FBF">
            <w:pPr>
              <w:pStyle w:val="a3"/>
              <w:spacing w:before="0" w:beforeAutospacing="0" w:after="0" w:afterAutospacing="0"/>
              <w:jc w:val="center"/>
              <w:rPr>
                <w:rStyle w:val="a5"/>
                <w:sz w:val="22"/>
                <w:szCs w:val="22"/>
              </w:rPr>
            </w:pPr>
            <w:r>
              <w:rPr>
                <w:rStyle w:val="a5"/>
                <w:sz w:val="22"/>
                <w:szCs w:val="22"/>
                <w:lang w:val="kk-KZ"/>
              </w:rPr>
              <w:t>2018</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(на</w:t>
            </w:r>
            <w:proofErr w:type="spellStart"/>
            <w:r w:rsidR="00075516" w:rsidRPr="002C18BD">
              <w:rPr>
                <w:rStyle w:val="a5"/>
                <w:sz w:val="22"/>
                <w:szCs w:val="22"/>
              </w:rPr>
              <w:t>қтыланған</w:t>
            </w:r>
            <w:proofErr w:type="spellEnd"/>
            <w:r w:rsidR="00075516" w:rsidRPr="002C18BD">
              <w:rPr>
                <w:rStyle w:val="a5"/>
                <w:sz w:val="22"/>
                <w:szCs w:val="22"/>
              </w:rPr>
              <w:t xml:space="preserve"> </w:t>
            </w:r>
            <w:proofErr w:type="spellStart"/>
            <w:r w:rsidR="00075516" w:rsidRPr="002C18BD">
              <w:rPr>
                <w:rStyle w:val="a5"/>
                <w:sz w:val="22"/>
                <w:szCs w:val="22"/>
              </w:rPr>
              <w:t>жоспары</w:t>
            </w:r>
            <w:proofErr w:type="spellEnd"/>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7F622F">
              <w:rPr>
                <w:rStyle w:val="a5"/>
                <w:sz w:val="22"/>
                <w:szCs w:val="22"/>
              </w:rPr>
              <w:t>201</w:t>
            </w:r>
            <w:r w:rsidR="00CA301E">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A301E" w:rsidRDefault="00CA301E" w:rsidP="00274FBF">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2233,9</w:t>
            </w:r>
          </w:p>
        </w:tc>
        <w:tc>
          <w:tcPr>
            <w:tcW w:w="3119" w:type="dxa"/>
            <w:tcBorders>
              <w:top w:val="single" w:sz="4" w:space="0" w:color="auto"/>
              <w:left w:val="nil"/>
              <w:bottom w:val="nil"/>
              <w:right w:val="nil"/>
            </w:tcBorders>
          </w:tcPr>
          <w:p w:rsidR="00142537" w:rsidRPr="00CE4CD2" w:rsidRDefault="00722FE6"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2188,0</w:t>
            </w:r>
          </w:p>
        </w:tc>
        <w:tc>
          <w:tcPr>
            <w:tcW w:w="2657" w:type="dxa"/>
            <w:tcBorders>
              <w:top w:val="single" w:sz="4" w:space="0" w:color="auto"/>
              <w:left w:val="nil"/>
              <w:bottom w:val="nil"/>
              <w:right w:val="nil"/>
            </w:tcBorders>
          </w:tcPr>
          <w:p w:rsidR="00142537" w:rsidRPr="009E0420" w:rsidRDefault="0067791E"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99,9</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573C90" w:rsidRPr="00075516"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722FE6">
        <w:rPr>
          <w:rFonts w:eastAsia="Calibri"/>
          <w:sz w:val="28"/>
          <w:szCs w:val="28"/>
          <w:lang w:val="kk-KZ" w:eastAsia="en-US"/>
        </w:rPr>
        <w:t>452</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3C682D">
            <w:pPr>
              <w:pStyle w:val="a3"/>
              <w:spacing w:before="0" w:beforeAutospacing="0" w:after="0" w:afterAutospacing="0"/>
              <w:jc w:val="center"/>
              <w:rPr>
                <w:rStyle w:val="a5"/>
                <w:sz w:val="22"/>
                <w:szCs w:val="22"/>
                <w:lang w:val="kk-KZ"/>
              </w:rPr>
            </w:pPr>
            <w:r>
              <w:rPr>
                <w:rStyle w:val="a5"/>
                <w:sz w:val="22"/>
                <w:szCs w:val="22"/>
                <w:lang w:val="kk-KZ"/>
              </w:rPr>
              <w:lastRenderedPageBreak/>
              <w:t>2018</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0B6473">
            <w:pPr>
              <w:pStyle w:val="a3"/>
              <w:spacing w:before="0" w:beforeAutospacing="0" w:after="0" w:afterAutospacing="0"/>
              <w:jc w:val="center"/>
              <w:rPr>
                <w:rStyle w:val="a5"/>
                <w:sz w:val="22"/>
                <w:szCs w:val="22"/>
                <w:lang w:val="kk-KZ"/>
              </w:rPr>
            </w:pPr>
            <w:r>
              <w:rPr>
                <w:rStyle w:val="a5"/>
                <w:sz w:val="22"/>
                <w:szCs w:val="22"/>
                <w:lang w:val="kk-KZ"/>
              </w:rPr>
              <w:t>2019</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0B6473">
              <w:rPr>
                <w:rStyle w:val="a5"/>
                <w:sz w:val="22"/>
                <w:szCs w:val="22"/>
                <w:lang w:val="kk-KZ"/>
              </w:rPr>
              <w:t>анықталған</w:t>
            </w:r>
            <w:r w:rsidR="00075516"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A301E" w:rsidRDefault="00CA301E"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19,0</w:t>
            </w:r>
          </w:p>
        </w:tc>
        <w:tc>
          <w:tcPr>
            <w:tcW w:w="3119" w:type="dxa"/>
            <w:tcBorders>
              <w:top w:val="single" w:sz="4" w:space="0" w:color="auto"/>
              <w:left w:val="nil"/>
              <w:bottom w:val="nil"/>
              <w:right w:val="nil"/>
            </w:tcBorders>
          </w:tcPr>
          <w:p w:rsidR="00A177DC" w:rsidRPr="00CE4CD2" w:rsidRDefault="00722FE6"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452</w:t>
            </w:r>
          </w:p>
        </w:tc>
        <w:tc>
          <w:tcPr>
            <w:tcW w:w="2657" w:type="dxa"/>
            <w:tcBorders>
              <w:top w:val="single" w:sz="4" w:space="0" w:color="auto"/>
              <w:left w:val="nil"/>
              <w:bottom w:val="nil"/>
              <w:right w:val="nil"/>
            </w:tcBorders>
          </w:tcPr>
          <w:p w:rsidR="00A177DC" w:rsidRPr="0087760A" w:rsidRDefault="00A177DC" w:rsidP="00274FBF">
            <w:pPr>
              <w:spacing w:after="0" w:line="240" w:lineRule="auto"/>
              <w:jc w:val="center"/>
              <w:rPr>
                <w:rStyle w:val="a5"/>
                <w:rFonts w:ascii="Times New Roman" w:hAnsi="Times New Roman"/>
                <w:b w:val="0"/>
                <w:bCs w:val="0"/>
                <w:i/>
                <w:color w:val="000000"/>
                <w:lang w:val="kk-KZ" w:eastAsia="ru-RU"/>
              </w:rPr>
            </w:pP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6A" w:rsidRDefault="001A0F6A" w:rsidP="00887261">
      <w:pPr>
        <w:spacing w:after="0" w:line="240" w:lineRule="auto"/>
      </w:pPr>
      <w:r>
        <w:separator/>
      </w:r>
    </w:p>
  </w:endnote>
  <w:endnote w:type="continuationSeparator" w:id="0">
    <w:p w:rsidR="001A0F6A" w:rsidRDefault="001A0F6A"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A7" w:rsidRDefault="00997FA7">
    <w:pPr>
      <w:pStyle w:val="af"/>
      <w:jc w:val="right"/>
    </w:pPr>
    <w:r>
      <w:fldChar w:fldCharType="begin"/>
    </w:r>
    <w:r>
      <w:instrText xml:space="preserve"> PAGE   \* MERGEFORMAT </w:instrText>
    </w:r>
    <w:r>
      <w:fldChar w:fldCharType="separate"/>
    </w:r>
    <w:r w:rsidR="00E433D4">
      <w:rPr>
        <w:noProof/>
      </w:rPr>
      <w:t>4</w:t>
    </w:r>
    <w:r>
      <w:rPr>
        <w:noProof/>
      </w:rPr>
      <w:fldChar w:fldCharType="end"/>
    </w:r>
  </w:p>
  <w:p w:rsidR="00997FA7" w:rsidRDefault="00997F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6A" w:rsidRDefault="001A0F6A" w:rsidP="00887261">
      <w:pPr>
        <w:spacing w:after="0" w:line="240" w:lineRule="auto"/>
      </w:pPr>
      <w:r>
        <w:separator/>
      </w:r>
    </w:p>
  </w:footnote>
  <w:footnote w:type="continuationSeparator" w:id="0">
    <w:p w:rsidR="001A0F6A" w:rsidRDefault="001A0F6A"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AAF"/>
    <w:rsid w:val="000230C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1D0"/>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F6A"/>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430E"/>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565"/>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7791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2FE6"/>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12D"/>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14F"/>
    <w:rsid w:val="007A54EB"/>
    <w:rsid w:val="007A59AC"/>
    <w:rsid w:val="007A5CF4"/>
    <w:rsid w:val="007B008B"/>
    <w:rsid w:val="007B0A0D"/>
    <w:rsid w:val="007B0B5E"/>
    <w:rsid w:val="007B517F"/>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4026"/>
    <w:rsid w:val="00844780"/>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4E1C"/>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978"/>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97BEA"/>
    <w:rsid w:val="00997FA7"/>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72B"/>
    <w:rsid w:val="00AB4803"/>
    <w:rsid w:val="00AB4897"/>
    <w:rsid w:val="00AB4F82"/>
    <w:rsid w:val="00AB54B5"/>
    <w:rsid w:val="00AB72FE"/>
    <w:rsid w:val="00AB7DAF"/>
    <w:rsid w:val="00AC1388"/>
    <w:rsid w:val="00AC199F"/>
    <w:rsid w:val="00AC1EC9"/>
    <w:rsid w:val="00AC1F54"/>
    <w:rsid w:val="00AC381C"/>
    <w:rsid w:val="00AC4681"/>
    <w:rsid w:val="00AC6532"/>
    <w:rsid w:val="00AC7124"/>
    <w:rsid w:val="00AC72B6"/>
    <w:rsid w:val="00AD07AF"/>
    <w:rsid w:val="00AD0DED"/>
    <w:rsid w:val="00AD153D"/>
    <w:rsid w:val="00AD1949"/>
    <w:rsid w:val="00AD2C48"/>
    <w:rsid w:val="00AD3050"/>
    <w:rsid w:val="00AD314D"/>
    <w:rsid w:val="00AD3DFC"/>
    <w:rsid w:val="00AD4FF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5687"/>
    <w:rsid w:val="00B66227"/>
    <w:rsid w:val="00B6639A"/>
    <w:rsid w:val="00B6706F"/>
    <w:rsid w:val="00B719DB"/>
    <w:rsid w:val="00B71AD1"/>
    <w:rsid w:val="00B71F4D"/>
    <w:rsid w:val="00B7212B"/>
    <w:rsid w:val="00B761F4"/>
    <w:rsid w:val="00B77752"/>
    <w:rsid w:val="00B823DC"/>
    <w:rsid w:val="00B82BB1"/>
    <w:rsid w:val="00B8471A"/>
    <w:rsid w:val="00B85A12"/>
    <w:rsid w:val="00B86505"/>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59E8"/>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1E"/>
    <w:rsid w:val="00CA35D4"/>
    <w:rsid w:val="00CA4204"/>
    <w:rsid w:val="00CA4BC8"/>
    <w:rsid w:val="00CA5401"/>
    <w:rsid w:val="00CA6680"/>
    <w:rsid w:val="00CA6767"/>
    <w:rsid w:val="00CA6F58"/>
    <w:rsid w:val="00CA7701"/>
    <w:rsid w:val="00CA7837"/>
    <w:rsid w:val="00CB4087"/>
    <w:rsid w:val="00CB437D"/>
    <w:rsid w:val="00CB5067"/>
    <w:rsid w:val="00CB5BEA"/>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3D4"/>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1F5"/>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0064"/>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6E2F-F228-44CE-9C5A-E39440B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1,3%</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22,9%</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2,3%</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3,9%</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38%</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24,8%</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0,3</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0,3%</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6,2%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C066-B4D2-4040-AA46-F6568D8D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9161</TotalTime>
  <Pages>1</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976</cp:revision>
  <cp:lastPrinted>2019-02-01T09:47:00Z</cp:lastPrinted>
  <dcterms:created xsi:type="dcterms:W3CDTF">2013-01-17T21:02:00Z</dcterms:created>
  <dcterms:modified xsi:type="dcterms:W3CDTF">2019-10-11T03:53:00Z</dcterms:modified>
</cp:coreProperties>
</file>