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26674D" w:rsidRDefault="0026674D" w:rsidP="00A27C5D">
      <w:pPr>
        <w:pStyle w:val="a7"/>
        <w:numPr>
          <w:ilvl w:val="0"/>
          <w:numId w:val="37"/>
        </w:numPr>
        <w:spacing w:after="0" w:line="240" w:lineRule="auto"/>
        <w:jc w:val="center"/>
        <w:rPr>
          <w:rFonts w:ascii="Times New Roman" w:hAnsi="Times New Roman"/>
          <w:i/>
          <w:sz w:val="28"/>
          <w:szCs w:val="28"/>
        </w:rPr>
      </w:pPr>
      <w:proofErr w:type="spellStart"/>
      <w:r w:rsidRPr="0026674D">
        <w:rPr>
          <w:rFonts w:ascii="Times New Roman" w:eastAsia="Times New Roman" w:hAnsi="Times New Roman"/>
          <w:b/>
          <w:sz w:val="28"/>
          <w:szCs w:val="28"/>
          <w:lang w:eastAsia="ru-RU"/>
        </w:rPr>
        <w:t>Көкшетау</w:t>
      </w:r>
      <w:proofErr w:type="spellEnd"/>
      <w:r w:rsidRPr="0026674D">
        <w:rPr>
          <w:rFonts w:ascii="Times New Roman" w:eastAsia="Times New Roman" w:hAnsi="Times New Roman"/>
          <w:b/>
          <w:sz w:val="28"/>
          <w:szCs w:val="28"/>
          <w:lang w:eastAsia="ru-RU"/>
        </w:rPr>
        <w:t xml:space="preserve"> </w:t>
      </w:r>
      <w:proofErr w:type="spellStart"/>
      <w:r w:rsidRPr="0026674D">
        <w:rPr>
          <w:rFonts w:ascii="Times New Roman" w:eastAsia="Times New Roman" w:hAnsi="Times New Roman"/>
          <w:b/>
          <w:sz w:val="28"/>
          <w:szCs w:val="28"/>
          <w:lang w:eastAsia="ru-RU"/>
        </w:rPr>
        <w:t>қаласыны</w:t>
      </w:r>
      <w:proofErr w:type="spellEnd"/>
      <w:r w:rsidRPr="0026674D">
        <w:rPr>
          <w:rFonts w:ascii="Times New Roman" w:eastAsia="Times New Roman" w:hAnsi="Times New Roman"/>
          <w:b/>
          <w:sz w:val="28"/>
          <w:szCs w:val="28"/>
          <w:lang w:val="kk-KZ" w:eastAsia="ru-RU"/>
        </w:rPr>
        <w:t xml:space="preserve">ң </w:t>
      </w:r>
      <w:proofErr w:type="spellStart"/>
      <w:r w:rsidRPr="0026674D">
        <w:rPr>
          <w:rFonts w:ascii="Times New Roman" w:eastAsia="Times New Roman" w:hAnsi="Times New Roman"/>
          <w:b/>
          <w:sz w:val="28"/>
          <w:szCs w:val="28"/>
          <w:lang w:eastAsia="ru-RU"/>
        </w:rPr>
        <w:t>әлеуметтік-экономикалық</w:t>
      </w:r>
      <w:proofErr w:type="spellEnd"/>
      <w:r w:rsidRPr="0026674D">
        <w:rPr>
          <w:rFonts w:ascii="Times New Roman" w:eastAsia="Times New Roman" w:hAnsi="Times New Roman"/>
          <w:b/>
          <w:sz w:val="28"/>
          <w:szCs w:val="28"/>
          <w:lang w:eastAsia="ru-RU"/>
        </w:rPr>
        <w:t xml:space="preserve"> даму</w:t>
      </w:r>
      <w:r w:rsidR="00E810E1">
        <w:rPr>
          <w:rFonts w:ascii="Times New Roman" w:eastAsia="Times New Roman" w:hAnsi="Times New Roman"/>
          <w:b/>
          <w:sz w:val="28"/>
          <w:szCs w:val="28"/>
          <w:lang w:val="kk-KZ" w:eastAsia="ru-RU"/>
        </w:rPr>
        <w:t>ының</w:t>
      </w:r>
      <w:r w:rsidRPr="0026674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kk-KZ" w:eastAsia="ru-RU"/>
        </w:rPr>
        <w:t>н</w:t>
      </w:r>
      <w:proofErr w:type="spellStart"/>
      <w:r w:rsidRPr="0026674D">
        <w:rPr>
          <w:rFonts w:ascii="Times New Roman" w:eastAsia="Times New Roman" w:hAnsi="Times New Roman"/>
          <w:b/>
          <w:sz w:val="28"/>
          <w:szCs w:val="28"/>
          <w:lang w:eastAsia="ru-RU"/>
        </w:rPr>
        <w:t>егізгі</w:t>
      </w:r>
      <w:proofErr w:type="spellEnd"/>
      <w:r w:rsidRPr="0026674D">
        <w:rPr>
          <w:rFonts w:ascii="Times New Roman" w:eastAsia="Times New Roman" w:hAnsi="Times New Roman"/>
          <w:b/>
          <w:sz w:val="28"/>
          <w:szCs w:val="28"/>
          <w:lang w:eastAsia="ru-RU"/>
        </w:rPr>
        <w:t xml:space="preserve"> </w:t>
      </w:r>
      <w:proofErr w:type="spellStart"/>
      <w:r w:rsidRPr="0026674D">
        <w:rPr>
          <w:rFonts w:ascii="Times New Roman" w:eastAsia="Times New Roman" w:hAnsi="Times New Roman"/>
          <w:b/>
          <w:sz w:val="28"/>
          <w:szCs w:val="28"/>
          <w:lang w:eastAsia="ru-RU"/>
        </w:rPr>
        <w:t>көрсеткіштері</w:t>
      </w:r>
      <w:proofErr w:type="spellEnd"/>
      <w:r w:rsidRPr="0026674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2018</w:t>
      </w:r>
      <w:r w:rsidRPr="003A7368">
        <w:rPr>
          <w:rFonts w:ascii="Times New Roman" w:hAnsi="Times New Roman"/>
          <w:b/>
          <w:sz w:val="28"/>
          <w:szCs w:val="28"/>
          <w:lang w:val="kk-KZ"/>
        </w:rPr>
        <w:t xml:space="preserve"> </w:t>
      </w:r>
      <w:proofErr w:type="gramStart"/>
      <w:r w:rsidRPr="003A7368">
        <w:rPr>
          <w:rFonts w:ascii="Times New Roman" w:hAnsi="Times New Roman"/>
          <w:b/>
          <w:sz w:val="28"/>
          <w:szCs w:val="28"/>
          <w:lang w:val="kk-KZ"/>
        </w:rPr>
        <w:t>жыл</w:t>
      </w:r>
      <w:proofErr w:type="gramEnd"/>
      <w:r w:rsidRPr="003A7368">
        <w:rPr>
          <w:rFonts w:ascii="Times New Roman" w:hAnsi="Times New Roman"/>
          <w:b/>
          <w:sz w:val="28"/>
          <w:szCs w:val="28"/>
          <w:lang w:val="kk-KZ"/>
        </w:rPr>
        <w:t>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2018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1) жалақының ең төменгі мөлшері – 28 284 теңге;</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2) мемлекеттік базалық зейнетақы төлемі</w:t>
      </w:r>
      <w:r>
        <w:rPr>
          <w:rFonts w:ascii="Times New Roman" w:hAnsi="Times New Roman"/>
          <w:sz w:val="28"/>
          <w:szCs w:val="28"/>
          <w:lang w:val="kk-KZ"/>
        </w:rPr>
        <w:t>нің</w:t>
      </w:r>
      <w:r w:rsidRPr="00E810E1">
        <w:rPr>
          <w:rFonts w:ascii="Times New Roman" w:hAnsi="Times New Roman"/>
          <w:sz w:val="28"/>
          <w:szCs w:val="28"/>
          <w:lang w:val="kk-KZ"/>
        </w:rPr>
        <w:t xml:space="preserve"> ең төменгі мөлшері– 15 274 теңге;</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3) зейнетақының ең төменгі мөлшері – 33 745 теңге;</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4) айлық есептік көрсеткіш жәрдемақылар мен басқа да әлеуметтік төлемдер, сонымен қатар айыппұл санкцияларын қолдану, салықтар мен басқа да төлемдер Қазақстан Республикасының заңнамасына сәйкес – 2 405 теңге;</w:t>
      </w:r>
    </w:p>
    <w:p w:rsid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5) ең төменгі күнкөріс деңгейінің шамасы үшін базалық әлеуметтік төлемдердің мөлшерін есептеу – 28 284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E810E1" w:rsidRDefault="00E810E1" w:rsidP="00A27C5D">
      <w:pPr>
        <w:pStyle w:val="a7"/>
        <w:numPr>
          <w:ilvl w:val="0"/>
          <w:numId w:val="24"/>
        </w:numPr>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Қалалық бюджетінің </w:t>
      </w:r>
      <w:r w:rsidRPr="00E810E1">
        <w:rPr>
          <w:rFonts w:ascii="Times New Roman" w:eastAsia="Times New Roman" w:hAnsi="Times New Roman"/>
          <w:b/>
          <w:sz w:val="28"/>
          <w:szCs w:val="28"/>
          <w:lang w:val="kk-KZ" w:eastAsia="ru-RU"/>
        </w:rPr>
        <w:t>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8660D" w:rsidP="00A27C5D">
      <w:pPr>
        <w:pStyle w:val="a9"/>
        <w:ind w:firstLine="720"/>
        <w:rPr>
          <w:rFonts w:ascii="Times New Roman" w:hAnsi="Times New Roman"/>
          <w:b w:val="0"/>
          <w:szCs w:val="28"/>
          <w:lang w:val="kk-KZ"/>
        </w:rPr>
      </w:pPr>
      <w:r w:rsidRPr="00E810E1">
        <w:rPr>
          <w:rFonts w:ascii="Times New Roman" w:hAnsi="Times New Roman"/>
          <w:b w:val="0"/>
          <w:szCs w:val="28"/>
          <w:lang w:val="kk-KZ"/>
        </w:rPr>
        <w:t xml:space="preserve">2018 жылға қалалық бюджеттің </w:t>
      </w:r>
      <w:r>
        <w:rPr>
          <w:rFonts w:ascii="Times New Roman" w:hAnsi="Times New Roman"/>
          <w:b w:val="0"/>
          <w:szCs w:val="28"/>
          <w:lang w:val="kk-KZ"/>
        </w:rPr>
        <w:t>к</w:t>
      </w:r>
      <w:r w:rsidR="00E810E1" w:rsidRPr="00E810E1">
        <w:rPr>
          <w:rFonts w:ascii="Times New Roman" w:hAnsi="Times New Roman"/>
          <w:b w:val="0"/>
          <w:szCs w:val="28"/>
          <w:lang w:val="kk-KZ"/>
        </w:rPr>
        <w:t xml:space="preserve">ірістердің болжамы </w:t>
      </w:r>
      <w:r>
        <w:rPr>
          <w:rFonts w:ascii="Times New Roman" w:hAnsi="Times New Roman"/>
          <w:b w:val="0"/>
          <w:szCs w:val="28"/>
          <w:lang w:val="kk-KZ"/>
        </w:rPr>
        <w:t>сомасы</w:t>
      </w:r>
      <w:r w:rsidR="00E810E1" w:rsidRPr="00E810E1">
        <w:rPr>
          <w:rFonts w:ascii="Times New Roman" w:hAnsi="Times New Roman"/>
          <w:b w:val="0"/>
          <w:szCs w:val="28"/>
          <w:lang w:val="kk-KZ"/>
        </w:rPr>
        <w:t xml:space="preserve"> белгіленді 31 214,3 млн. теңгені құрады, соның ішінде трансферттер түсімі 9 671,1 млн. теңге. </w:t>
      </w:r>
      <w:r>
        <w:rPr>
          <w:rFonts w:ascii="Times New Roman" w:hAnsi="Times New Roman"/>
          <w:b w:val="0"/>
          <w:szCs w:val="28"/>
          <w:lang w:val="kk-KZ"/>
        </w:rPr>
        <w:t>Р</w:t>
      </w:r>
      <w:r w:rsidRPr="00E810E1">
        <w:rPr>
          <w:rFonts w:ascii="Times New Roman" w:hAnsi="Times New Roman"/>
          <w:b w:val="0"/>
          <w:szCs w:val="28"/>
          <w:lang w:val="kk-KZ"/>
        </w:rPr>
        <w:t xml:space="preserve">еспубликалық және облыстық бюджеттен </w:t>
      </w:r>
      <w:r>
        <w:rPr>
          <w:rFonts w:ascii="Times New Roman" w:hAnsi="Times New Roman"/>
          <w:b w:val="0"/>
          <w:szCs w:val="28"/>
          <w:lang w:val="kk-KZ"/>
        </w:rPr>
        <w:t>н</w:t>
      </w:r>
      <w:r w:rsidR="00E810E1" w:rsidRPr="00E810E1">
        <w:rPr>
          <w:rFonts w:ascii="Times New Roman" w:hAnsi="Times New Roman"/>
          <w:b w:val="0"/>
          <w:szCs w:val="28"/>
          <w:lang w:val="kk-KZ"/>
        </w:rPr>
        <w:t xml:space="preserve">есиелер– 3 248 млн. теңге. Қалалық бюджет </w:t>
      </w:r>
      <w:r w:rsidRPr="00E810E1">
        <w:rPr>
          <w:rFonts w:ascii="Times New Roman" w:hAnsi="Times New Roman"/>
          <w:b w:val="0"/>
          <w:szCs w:val="28"/>
          <w:lang w:val="kk-KZ"/>
        </w:rPr>
        <w:t xml:space="preserve">21 543,2 млн теңге </w:t>
      </w:r>
      <w:r w:rsidR="00E810E1" w:rsidRPr="00E810E1">
        <w:rPr>
          <w:rFonts w:ascii="Times New Roman" w:hAnsi="Times New Roman"/>
          <w:b w:val="0"/>
          <w:szCs w:val="28"/>
          <w:lang w:val="kk-KZ"/>
        </w:rPr>
        <w:t>деңгейінде жоспарланады. Шығындар 33 077,1 млн теңге</w:t>
      </w:r>
      <w:r>
        <w:rPr>
          <w:rFonts w:ascii="Times New Roman" w:hAnsi="Times New Roman"/>
          <w:b w:val="0"/>
          <w:szCs w:val="28"/>
          <w:lang w:val="kk-KZ"/>
        </w:rPr>
        <w:t xml:space="preserve"> құрайды. </w:t>
      </w:r>
      <w:r w:rsidRPr="00E810E1">
        <w:rPr>
          <w:rFonts w:ascii="Times New Roman" w:hAnsi="Times New Roman"/>
          <w:b w:val="0"/>
          <w:szCs w:val="28"/>
          <w:lang w:val="kk-KZ"/>
        </w:rPr>
        <w:t>2018-2020</w:t>
      </w:r>
      <w:r>
        <w:rPr>
          <w:rFonts w:ascii="Times New Roman" w:hAnsi="Times New Roman"/>
          <w:b w:val="0"/>
          <w:szCs w:val="28"/>
          <w:lang w:val="kk-KZ"/>
        </w:rPr>
        <w:t xml:space="preserve"> жылға қалалық бюджет 2017 жылы 14 желтоқсанда</w:t>
      </w:r>
      <w:r w:rsidR="00E810E1" w:rsidRPr="00E810E1">
        <w:rPr>
          <w:rFonts w:ascii="Times New Roman" w:hAnsi="Times New Roman"/>
          <w:b w:val="0"/>
          <w:szCs w:val="28"/>
          <w:lang w:val="kk-KZ"/>
        </w:rPr>
        <w:t xml:space="preserve"> </w:t>
      </w:r>
      <w:r w:rsidRPr="00E810E1">
        <w:rPr>
          <w:rFonts w:ascii="Times New Roman" w:hAnsi="Times New Roman"/>
          <w:b w:val="0"/>
          <w:szCs w:val="28"/>
          <w:lang w:val="kk-KZ"/>
        </w:rPr>
        <w:t xml:space="preserve">Көкшетау қалалық мәслихатының </w:t>
      </w:r>
      <w:r w:rsidR="00E810E1" w:rsidRPr="00E810E1">
        <w:rPr>
          <w:rFonts w:ascii="Times New Roman" w:hAnsi="Times New Roman"/>
          <w:b w:val="0"/>
          <w:szCs w:val="28"/>
          <w:lang w:val="kk-KZ"/>
        </w:rPr>
        <w:t xml:space="preserve">сессиясы №С-17/2 </w:t>
      </w:r>
      <w:r w:rsidRPr="00E810E1">
        <w:rPr>
          <w:rFonts w:ascii="Times New Roman" w:hAnsi="Times New Roman"/>
          <w:b w:val="0"/>
          <w:szCs w:val="28"/>
          <w:lang w:val="kk-KZ"/>
        </w:rPr>
        <w:t>шешімімен бекітілді</w:t>
      </w:r>
      <w:r w:rsidR="00E810E1" w:rsidRPr="00E810E1">
        <w:rPr>
          <w:rFonts w:ascii="Times New Roman" w:hAnsi="Times New Roman"/>
          <w:b w:val="0"/>
          <w:szCs w:val="28"/>
          <w:lang w:val="kk-KZ"/>
        </w:rPr>
        <w:t>.</w:t>
      </w:r>
    </w:p>
    <w:p w:rsidR="0085292C" w:rsidRPr="007F503F" w:rsidRDefault="007F503F" w:rsidP="00A27C5D">
      <w:pPr>
        <w:spacing w:line="240" w:lineRule="auto"/>
        <w:ind w:firstLine="708"/>
        <w:jc w:val="both"/>
        <w:rPr>
          <w:rFonts w:ascii="Times New Roman" w:hAnsi="Times New Roman"/>
          <w:b/>
          <w:i/>
          <w:sz w:val="24"/>
          <w:szCs w:val="24"/>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proofErr w:type="spellStart"/>
      <w:r w:rsidR="0078660D">
        <w:rPr>
          <w:rFonts w:ascii="Times New Roman" w:hAnsi="Times New Roman"/>
          <w:i/>
          <w:sz w:val="24"/>
          <w:szCs w:val="24"/>
        </w:rPr>
        <w:t>млн</w:t>
      </w:r>
      <w:proofErr w:type="gramStart"/>
      <w:r w:rsidR="0078660D">
        <w:rPr>
          <w:rFonts w:ascii="Times New Roman" w:hAnsi="Times New Roman"/>
          <w:i/>
          <w:sz w:val="24"/>
          <w:szCs w:val="24"/>
        </w:rPr>
        <w:t>.т</w:t>
      </w:r>
      <w:proofErr w:type="gramEnd"/>
      <w:r w:rsidR="0078660D">
        <w:rPr>
          <w:rFonts w:ascii="Times New Roman" w:hAnsi="Times New Roman"/>
          <w:i/>
          <w:sz w:val="24"/>
          <w:szCs w:val="24"/>
        </w:rPr>
        <w:t>е</w:t>
      </w:r>
      <w:proofErr w:type="spellEnd"/>
      <w:r w:rsidR="0078660D">
        <w:rPr>
          <w:rFonts w:ascii="Times New Roman" w:hAnsi="Times New Roman"/>
          <w:i/>
          <w:sz w:val="24"/>
          <w:szCs w:val="24"/>
          <w:lang w:val="kk-KZ"/>
        </w:rPr>
        <w:t>ң</w:t>
      </w:r>
      <w:proofErr w:type="spellStart"/>
      <w:r w:rsidR="0085292C" w:rsidRPr="007F503F">
        <w:rPr>
          <w:rFonts w:ascii="Times New Roman" w:hAnsi="Times New Roman"/>
          <w:i/>
          <w:sz w:val="24"/>
          <w:szCs w:val="24"/>
        </w:rPr>
        <w:t>ге</w:t>
      </w:r>
      <w:proofErr w:type="spellEnd"/>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6D2661"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Default="009614EB" w:rsidP="00A27C5D">
            <w:pPr>
              <w:spacing w:after="0" w:line="240" w:lineRule="auto"/>
              <w:rPr>
                <w:rFonts w:ascii="Times New Roman" w:eastAsia="Times New Roman" w:hAnsi="Times New Roman"/>
                <w:b/>
                <w:sz w:val="24"/>
                <w:szCs w:val="24"/>
                <w:lang w:eastAsia="ru-RU"/>
              </w:rPr>
            </w:pPr>
          </w:p>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2017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 xml:space="preserve">2018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6D2661" w:rsidRDefault="0078660D" w:rsidP="00A27C5D">
            <w:pPr>
              <w:spacing w:after="0" w:line="240" w:lineRule="auto"/>
              <w:jc w:val="center"/>
              <w:rPr>
                <w:rFonts w:ascii="Times New Roman" w:eastAsia="Times New Roman" w:hAnsi="Times New Roman"/>
                <w:b/>
                <w:sz w:val="24"/>
                <w:szCs w:val="24"/>
                <w:lang w:eastAsia="ru-RU"/>
              </w:rPr>
            </w:pPr>
            <w:proofErr w:type="spellStart"/>
            <w:r w:rsidRPr="0078660D">
              <w:rPr>
                <w:rFonts w:ascii="Times New Roman" w:eastAsia="Times New Roman" w:hAnsi="Times New Roman"/>
                <w:b/>
                <w:sz w:val="24"/>
                <w:szCs w:val="24"/>
                <w:lang w:eastAsia="ru-RU"/>
              </w:rPr>
              <w:t>Өсу</w:t>
            </w:r>
            <w:proofErr w:type="spellEnd"/>
            <w:r w:rsidRPr="0078660D">
              <w:rPr>
                <w:rFonts w:ascii="Times New Roman" w:eastAsia="Times New Roman" w:hAnsi="Times New Roman"/>
                <w:b/>
                <w:sz w:val="24"/>
                <w:szCs w:val="24"/>
                <w:lang w:eastAsia="ru-RU"/>
              </w:rPr>
              <w:t xml:space="preserve"> </w:t>
            </w:r>
            <w:proofErr w:type="spellStart"/>
            <w:r w:rsidRPr="0078660D">
              <w:rPr>
                <w:rFonts w:ascii="Times New Roman" w:eastAsia="Times New Roman" w:hAnsi="Times New Roman"/>
                <w:b/>
                <w:sz w:val="24"/>
                <w:szCs w:val="24"/>
                <w:lang w:eastAsia="ru-RU"/>
              </w:rPr>
              <w:t>қарқыны</w:t>
            </w:r>
            <w:proofErr w:type="spellEnd"/>
            <w:r w:rsidRPr="0078660D">
              <w:rPr>
                <w:rFonts w:ascii="Times New Roman" w:eastAsia="Times New Roman" w:hAnsi="Times New Roman"/>
                <w:b/>
                <w:sz w:val="24"/>
                <w:szCs w:val="24"/>
                <w:lang w:eastAsia="ru-RU"/>
              </w:rPr>
              <w:t xml:space="preserve"> </w:t>
            </w:r>
            <w:r w:rsidR="001C1609">
              <w:rPr>
                <w:rFonts w:ascii="Times New Roman" w:eastAsia="Times New Roman" w:hAnsi="Times New Roman"/>
                <w:b/>
                <w:sz w:val="24"/>
                <w:szCs w:val="24"/>
                <w:lang w:eastAsia="ru-RU"/>
              </w:rPr>
              <w:t>%</w:t>
            </w:r>
          </w:p>
        </w:tc>
        <w:tc>
          <w:tcPr>
            <w:tcW w:w="1181"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 xml:space="preserve">2019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2020</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29784,6</w:t>
            </w:r>
          </w:p>
        </w:tc>
        <w:tc>
          <w:tcPr>
            <w:tcW w:w="1439"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31214,3</w:t>
            </w:r>
          </w:p>
        </w:tc>
        <w:tc>
          <w:tcPr>
            <w:tcW w:w="1287" w:type="dxa"/>
            <w:shd w:val="clear" w:color="auto" w:fill="92D050"/>
          </w:tcPr>
          <w:p w:rsidR="009614EB" w:rsidRPr="008725DB" w:rsidRDefault="008B78E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104,8</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22016,7</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21519,2</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18223,2</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19 824,8</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1C1609">
              <w:rPr>
                <w:rFonts w:ascii="Times New Roman" w:eastAsia="Times New Roman" w:hAnsi="Times New Roman"/>
                <w:sz w:val="24"/>
                <w:szCs w:val="24"/>
                <w:lang w:eastAsia="ru-RU"/>
              </w:rPr>
              <w:t>,0</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71,2</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r>
      <w:tr w:rsidR="009614EB" w:rsidRPr="006D2661" w:rsidTr="0078660D">
        <w:trPr>
          <w:trHeight w:val="375"/>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1C1609" w:rsidRDefault="001C1609" w:rsidP="00A27C5D">
            <w:pPr>
              <w:spacing w:after="0" w:line="240" w:lineRule="auto"/>
              <w:jc w:val="center"/>
              <w:rPr>
                <w:rFonts w:ascii="Times New Roman" w:eastAsia="Times New Roman" w:hAnsi="Times New Roman"/>
                <w:sz w:val="24"/>
                <w:szCs w:val="24"/>
                <w:lang w:eastAsia="ru-RU"/>
              </w:rPr>
            </w:pPr>
          </w:p>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306,8</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1 647,2</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536,8</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829,9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419,7</w:t>
            </w:r>
          </w:p>
        </w:tc>
      </w:tr>
      <w:tr w:rsidR="009614EB" w:rsidRPr="006D2661"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11 193,6</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9 671,1</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112,3</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r>
      <w:tr w:rsidR="009614EB" w:rsidRPr="0016233D" w:rsidTr="0078660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облыстық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r w:rsidR="00686F93">
              <w:rPr>
                <w:rFonts w:ascii="Times New Roman" w:eastAsia="Times New Roman" w:hAnsi="Times New Roman"/>
                <w:i/>
                <w:sz w:val="24"/>
                <w:szCs w:val="24"/>
                <w:lang w:val="kk-KZ" w:eastAsia="ru-RU"/>
              </w:rPr>
              <w:t xml:space="preserve">алынатын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tcPr>
          <w:p w:rsidR="001C1609" w:rsidRDefault="001C1609" w:rsidP="00A27C5D">
            <w:pPr>
              <w:spacing w:after="0" w:line="240" w:lineRule="auto"/>
              <w:jc w:val="center"/>
              <w:rPr>
                <w:rFonts w:ascii="Times New Roman" w:eastAsia="Times New Roman" w:hAnsi="Times New Roman"/>
                <w:i/>
                <w:sz w:val="24"/>
                <w:szCs w:val="24"/>
                <w:lang w:eastAsia="ru-RU"/>
              </w:rPr>
            </w:pPr>
          </w:p>
          <w:p w:rsidR="009614EB"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7865,8</w:t>
            </w:r>
          </w:p>
        </w:tc>
        <w:tc>
          <w:tcPr>
            <w:tcW w:w="1439"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3 996,1</w:t>
            </w:r>
          </w:p>
        </w:tc>
        <w:tc>
          <w:tcPr>
            <w:tcW w:w="1287" w:type="dxa"/>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50,8</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109,5</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25,0</w:t>
            </w:r>
          </w:p>
        </w:tc>
      </w:tr>
      <w:tr w:rsidR="009614EB" w:rsidRPr="0016233D" w:rsidTr="0078660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республикалық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алынатын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tcPr>
          <w:p w:rsidR="009614EB" w:rsidRDefault="009614EB" w:rsidP="00A27C5D">
            <w:pPr>
              <w:spacing w:after="0" w:line="240" w:lineRule="auto"/>
              <w:jc w:val="center"/>
              <w:rPr>
                <w:rFonts w:ascii="Times New Roman" w:eastAsia="Times New Roman" w:hAnsi="Times New Roman"/>
                <w:i/>
                <w:sz w:val="24"/>
                <w:szCs w:val="24"/>
                <w:lang w:eastAsia="ru-RU"/>
              </w:rPr>
            </w:pPr>
          </w:p>
          <w:p w:rsidR="001C1609"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3327,8</w:t>
            </w:r>
          </w:p>
        </w:tc>
        <w:tc>
          <w:tcPr>
            <w:tcW w:w="1439"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5 675,0</w:t>
            </w:r>
          </w:p>
        </w:tc>
        <w:tc>
          <w:tcPr>
            <w:tcW w:w="1287" w:type="dxa"/>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170,5</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30474,4</w:t>
            </w:r>
          </w:p>
        </w:tc>
        <w:tc>
          <w:tcPr>
            <w:tcW w:w="1439"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33 077,1</w:t>
            </w:r>
          </w:p>
        </w:tc>
        <w:tc>
          <w:tcPr>
            <w:tcW w:w="1287" w:type="dxa"/>
            <w:shd w:val="clear" w:color="auto" w:fill="92D050"/>
          </w:tcPr>
          <w:p w:rsidR="009614E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108,5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21 606,5</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21 519,2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w:t>
            </w:r>
            <w:proofErr w:type="gramStart"/>
            <w:r w:rsidRPr="00686F93">
              <w:rPr>
                <w:rFonts w:ascii="Times New Roman" w:eastAsia="Times New Roman" w:hAnsi="Times New Roman"/>
                <w:b/>
                <w:i/>
                <w:sz w:val="24"/>
                <w:szCs w:val="24"/>
                <w:lang w:eastAsia="ru-RU"/>
              </w:rPr>
              <w:t>к</w:t>
            </w:r>
            <w:proofErr w:type="spellEnd"/>
            <w:proofErr w:type="gram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46,7</w:t>
            </w:r>
          </w:p>
        </w:tc>
        <w:tc>
          <w:tcPr>
            <w:tcW w:w="1439"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115,6</w:t>
            </w:r>
          </w:p>
        </w:tc>
        <w:tc>
          <w:tcPr>
            <w:tcW w:w="1287" w:type="dxa"/>
            <w:shd w:val="clear" w:color="auto" w:fill="92D050"/>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247,5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236,2</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c>
          <w:tcPr>
            <w:tcW w:w="1439"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126,3</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230,4</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236,2</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lastRenderedPageBreak/>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Default="00FC25BF"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40,6</w:t>
            </w:r>
          </w:p>
        </w:tc>
        <w:tc>
          <w:tcPr>
            <w:tcW w:w="1439"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287" w:type="dxa"/>
            <w:shd w:val="clear" w:color="auto" w:fill="92D050"/>
          </w:tcPr>
          <w:p w:rsidR="00A34472" w:rsidRDefault="00A34472" w:rsidP="00A27C5D">
            <w:pPr>
              <w:spacing w:after="0" w:line="240" w:lineRule="auto"/>
              <w:jc w:val="center"/>
              <w:rPr>
                <w:rFonts w:ascii="Times New Roman" w:eastAsia="Times New Roman" w:hAnsi="Times New Roman"/>
                <w:b/>
                <w:i/>
                <w:sz w:val="24"/>
                <w:szCs w:val="24"/>
                <w:lang w:eastAsia="ru-RU"/>
              </w:rPr>
            </w:pPr>
          </w:p>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1"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0"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lastRenderedPageBreak/>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Default="00FC25BF"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40,6</w:t>
            </w:r>
          </w:p>
        </w:tc>
        <w:tc>
          <w:tcPr>
            <w:tcW w:w="1439"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-1 978,3</w:t>
            </w:r>
          </w:p>
        </w:tc>
        <w:tc>
          <w:tcPr>
            <w:tcW w:w="1287" w:type="dxa"/>
            <w:shd w:val="clear" w:color="auto" w:fill="92D050"/>
          </w:tcPr>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8725DB">
              <w:rPr>
                <w:rFonts w:ascii="Times New Roman" w:eastAsia="Times New Roman" w:hAnsi="Times New Roman"/>
                <w:b/>
                <w:i/>
                <w:sz w:val="24"/>
                <w:szCs w:val="24"/>
                <w:lang w:eastAsia="ru-RU"/>
              </w:rPr>
              <w:t>8,2</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1</w:t>
            </w:r>
            <w:r>
              <w:rPr>
                <w:rFonts w:ascii="Times New Roman" w:eastAsia="Times New Roman" w:hAnsi="Times New Roman"/>
                <w:b/>
                <w:i/>
                <w:sz w:val="24"/>
                <w:szCs w:val="24"/>
                <w:lang w:eastAsia="ru-RU"/>
              </w:rPr>
              <w:t xml:space="preserve"> </w:t>
            </w:r>
            <w:r w:rsidRPr="00787C6A">
              <w:rPr>
                <w:rFonts w:ascii="Times New Roman" w:eastAsia="Times New Roman" w:hAnsi="Times New Roman"/>
                <w:b/>
                <w:i/>
                <w:sz w:val="24"/>
                <w:szCs w:val="24"/>
                <w:lang w:eastAsia="ru-RU"/>
              </w:rPr>
              <w:t>978,3</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465,1</w:t>
            </w:r>
          </w:p>
        </w:tc>
        <w:tc>
          <w:tcPr>
            <w:tcW w:w="1439"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3 248,0</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698,3</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646,4</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1 269,7</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156,7</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drawing>
          <wp:inline distT="0" distB="0" distL="0" distR="0" wp14:anchorId="73AD8A94" wp14:editId="63AA5356">
            <wp:extent cx="5857875" cy="43934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5277" cy="4398959"/>
                    </a:xfrm>
                    <a:prstGeom prst="rect">
                      <a:avLst/>
                    </a:prstGeom>
                  </pic:spPr>
                </pic:pic>
              </a:graphicData>
            </a:graphic>
          </wp:inline>
        </w:drawing>
      </w:r>
      <w:r w:rsidRPr="003A7368">
        <w:rPr>
          <w:rFonts w:ascii="Times New Roman" w:eastAsia="Times New Roman" w:hAnsi="Times New Roman"/>
          <w:noProof/>
          <w:sz w:val="28"/>
          <w:szCs w:val="28"/>
          <w:lang w:eastAsia="ru-RU"/>
        </w:rPr>
        <w:t xml:space="preserve"> </w:t>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25DB" w:rsidRDefault="008725DB" w:rsidP="00A27C5D">
      <w:pPr>
        <w:tabs>
          <w:tab w:val="left" w:pos="1701"/>
        </w:tabs>
        <w:spacing w:after="0" w:line="240" w:lineRule="auto"/>
        <w:ind w:firstLine="709"/>
        <w:jc w:val="center"/>
        <w:rPr>
          <w:rFonts w:ascii="Times New Roman" w:hAnsi="Times New Roman"/>
          <w:b/>
          <w:sz w:val="28"/>
          <w:szCs w:val="28"/>
        </w:rPr>
      </w:pPr>
    </w:p>
    <w:p w:rsidR="008725DB" w:rsidRDefault="008725DB"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8707B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2018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lastRenderedPageBreak/>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85B78"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2018-2020 жылдардың</w:t>
      </w:r>
      <w:r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Pr="008707B7">
        <w:rPr>
          <w:rFonts w:ascii="Times New Roman" w:hAnsi="Times New Roman"/>
          <w:sz w:val="28"/>
          <w:szCs w:val="28"/>
          <w:lang w:val="kk-KZ"/>
        </w:rPr>
        <w:t>мемлекет кепілдік берген міндеттемелерді және азаматтарды</w:t>
      </w:r>
      <w:r>
        <w:rPr>
          <w:rFonts w:ascii="Times New Roman" w:hAnsi="Times New Roman"/>
          <w:sz w:val="28"/>
          <w:szCs w:val="28"/>
          <w:lang w:val="kk-KZ"/>
        </w:rPr>
        <w:t>ң</w:t>
      </w:r>
      <w:r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85B78"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w:t>
      </w:r>
      <w:r w:rsidRPr="00985B78">
        <w:rPr>
          <w:rFonts w:ascii="Times New Roman" w:hAnsi="Times New Roman"/>
          <w:b/>
          <w:sz w:val="28"/>
          <w:szCs w:val="24"/>
          <w:lang w:val="kk-KZ"/>
        </w:rPr>
        <w:t>2018-2020 жылдарға арналған</w:t>
      </w:r>
      <w:r>
        <w:rPr>
          <w:rFonts w:ascii="Times New Roman" w:hAnsi="Times New Roman"/>
          <w:b/>
          <w:sz w:val="28"/>
          <w:szCs w:val="24"/>
          <w:lang w:val="kk-KZ"/>
        </w:rPr>
        <w:t>»</w:t>
      </w:r>
    </w:p>
    <w:p w:rsidR="00985B78" w:rsidRPr="00985B78" w:rsidRDefault="00985B78"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б</w:t>
      </w:r>
      <w:r w:rsidRPr="00985B78">
        <w:rPr>
          <w:rFonts w:ascii="Times New Roman" w:hAnsi="Times New Roman"/>
          <w:b/>
          <w:sz w:val="28"/>
          <w:szCs w:val="24"/>
          <w:lang w:val="kk-KZ"/>
        </w:rPr>
        <w:t xml:space="preserve">екітілген жоспар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w:t>
      </w:r>
      <w:proofErr w:type="gramStart"/>
      <w:r>
        <w:rPr>
          <w:rFonts w:ascii="Times New Roman" w:hAnsi="Times New Roman"/>
          <w:i/>
          <w:sz w:val="24"/>
          <w:szCs w:val="24"/>
        </w:rPr>
        <w:t>.т</w:t>
      </w:r>
      <w:proofErr w:type="gramEnd"/>
      <w:r>
        <w:rPr>
          <w:rFonts w:ascii="Times New Roman" w:hAnsi="Times New Roman"/>
          <w:i/>
          <w:sz w:val="24"/>
          <w:szCs w:val="24"/>
        </w:rPr>
        <w:t>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CF4BC1" w:rsidP="00A27C5D">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985B78">
              <w:rPr>
                <w:rFonts w:ascii="Times New Roman" w:hAnsi="Times New Roman"/>
                <w:b/>
                <w:sz w:val="24"/>
                <w:szCs w:val="24"/>
                <w:lang w:val="kk-KZ"/>
              </w:rPr>
              <w:t>жыл</w:t>
            </w:r>
            <w:r>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2019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2020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33077,1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21606,5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21519,2</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282,6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277,4</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31,6</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131,4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131,7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132,2</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w:t>
            </w:r>
            <w:proofErr w:type="gramStart"/>
            <w:r w:rsidRPr="00E03F14">
              <w:rPr>
                <w:rFonts w:ascii="Times New Roman" w:hAnsi="Times New Roman"/>
                <w:color w:val="000000"/>
                <w:sz w:val="23"/>
                <w:szCs w:val="23"/>
              </w:rPr>
              <w:t>л</w:t>
            </w:r>
            <w:proofErr w:type="gramEnd"/>
            <w:r w:rsidRPr="00E03F14">
              <w:rPr>
                <w:rFonts w:ascii="Times New Roman" w:hAnsi="Times New Roman"/>
                <w:color w:val="000000"/>
                <w:sz w:val="23"/>
                <w:szCs w:val="23"/>
              </w:rPr>
              <w:t>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10502,9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7945,1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8232,0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proofErr w:type="gramStart"/>
            <w:r w:rsidRPr="00E03F14">
              <w:rPr>
                <w:rFonts w:ascii="Times New Roman" w:hAnsi="Times New Roman"/>
                <w:color w:val="000000"/>
                <w:sz w:val="23"/>
                <w:szCs w:val="23"/>
              </w:rPr>
              <w:t>к</w:t>
            </w:r>
            <w:proofErr w:type="gramEnd"/>
            <w:r w:rsidRPr="00E03F14">
              <w:rPr>
                <w:rFonts w:ascii="Times New Roman" w:hAnsi="Times New Roman"/>
                <w:color w:val="000000"/>
                <w:sz w:val="23"/>
                <w:szCs w:val="23"/>
              </w:rPr>
              <w:t>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1061,4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845,0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885,2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w:t>
            </w:r>
            <w:proofErr w:type="gramStart"/>
            <w:r>
              <w:rPr>
                <w:rFonts w:ascii="Times New Roman" w:hAnsi="Times New Roman"/>
                <w:color w:val="000000"/>
                <w:sz w:val="23"/>
                <w:szCs w:val="23"/>
              </w:rPr>
              <w:t>р</w:t>
            </w:r>
            <w:proofErr w:type="gramEnd"/>
            <w:r>
              <w:rPr>
                <w:rFonts w:ascii="Times New Roman" w:hAnsi="Times New Roman"/>
                <w:color w:val="000000"/>
                <w:sz w:val="23"/>
                <w:szCs w:val="23"/>
              </w:rPr>
              <w:t>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10198,3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2648,1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2711,9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w:t>
            </w:r>
            <w:proofErr w:type="gramStart"/>
            <w:r w:rsidRPr="00E03F14">
              <w:rPr>
                <w:rFonts w:ascii="Times New Roman" w:hAnsi="Times New Roman"/>
                <w:color w:val="000000"/>
                <w:sz w:val="23"/>
                <w:szCs w:val="23"/>
              </w:rPr>
              <w:t>ст</w:t>
            </w:r>
            <w:proofErr w:type="gramEnd"/>
            <w:r w:rsidRPr="00E03F14">
              <w:rPr>
                <w:rFonts w:ascii="Times New Roman" w:hAnsi="Times New Roman"/>
                <w:color w:val="000000"/>
                <w:sz w:val="23"/>
                <w:szCs w:val="23"/>
              </w:rPr>
              <w:t>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418,4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437,2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lastRenderedPageBreak/>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w:t>
            </w:r>
            <w:proofErr w:type="gramStart"/>
            <w:r w:rsidRPr="00E03F14">
              <w:rPr>
                <w:rFonts w:ascii="Times New Roman" w:hAnsi="Times New Roman"/>
                <w:color w:val="000000"/>
                <w:sz w:val="23"/>
                <w:szCs w:val="23"/>
              </w:rPr>
              <w:t>ау</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76,1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Өнеркәсі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138,3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106,4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w:t>
            </w:r>
            <w:proofErr w:type="gramStart"/>
            <w:r w:rsidRPr="00C223EB">
              <w:rPr>
                <w:rFonts w:ascii="Times New Roman" w:hAnsi="Times New Roman"/>
                <w:color w:val="000000"/>
                <w:sz w:val="23"/>
                <w:szCs w:val="23"/>
              </w:rPr>
              <w:t>к</w:t>
            </w:r>
            <w:proofErr w:type="spellEnd"/>
            <w:proofErr w:type="gram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2208,9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661,5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739,2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proofErr w:type="gramStart"/>
            <w:r w:rsidRPr="002B2080">
              <w:rPr>
                <w:rFonts w:ascii="Times New Roman" w:hAnsi="Times New Roman"/>
                <w:color w:val="000000"/>
                <w:sz w:val="23"/>
                <w:szCs w:val="23"/>
              </w:rPr>
              <w:t>асыру</w:t>
            </w:r>
            <w:proofErr w:type="gramEnd"/>
            <w:r w:rsidRPr="002B2080">
              <w:rPr>
                <w:rFonts w:ascii="Times New Roman" w:hAnsi="Times New Roman"/>
                <w:color w:val="000000"/>
                <w:sz w:val="23"/>
                <w:szCs w:val="23"/>
              </w:rPr>
              <w:t>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7189,0</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8064,5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7476,1</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6 728,4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320"/>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 xml:space="preserve">2017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6D4833">
        <w:trPr>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0"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A27C5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6D4833">
              <w:rPr>
                <w:rFonts w:ascii="Times New Roman" w:hAnsi="Times New Roman"/>
                <w:i/>
                <w:iCs/>
                <w:sz w:val="24"/>
                <w:szCs w:val="24"/>
                <w:lang w:val="kk-KZ"/>
              </w:rPr>
              <w:t>6</w:t>
            </w:r>
            <w:r w:rsidR="00705CC3">
              <w:rPr>
                <w:rFonts w:ascii="Times New Roman" w:hAnsi="Times New Roman"/>
                <w:i/>
                <w:iCs/>
                <w:sz w:val="24"/>
                <w:szCs w:val="24"/>
                <w:lang w:val="kk-KZ"/>
              </w:rPr>
              <w:t xml:space="preserve"> </w:t>
            </w:r>
            <w:r w:rsidR="006D4833">
              <w:rPr>
                <w:rFonts w:ascii="Times New Roman" w:hAnsi="Times New Roman"/>
                <w:i/>
                <w:iCs/>
                <w:sz w:val="24"/>
                <w:szCs w:val="24"/>
                <w:lang w:val="kk-KZ"/>
              </w:rPr>
              <w:t>688,0</w:t>
            </w:r>
          </w:p>
        </w:tc>
        <w:tc>
          <w:tcPr>
            <w:tcW w:w="712"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6 728,4</w:t>
            </w:r>
          </w:p>
        </w:tc>
        <w:tc>
          <w:tcPr>
            <w:tcW w:w="671" w:type="pct"/>
            <w:tcBorders>
              <w:top w:val="single" w:sz="4" w:space="0" w:color="auto"/>
              <w:bottom w:val="single" w:sz="4" w:space="0" w:color="auto"/>
            </w:tcBorders>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7 560,5</w:t>
            </w:r>
          </w:p>
        </w:tc>
        <w:tc>
          <w:tcPr>
            <w:tcW w:w="670" w:type="pct"/>
            <w:tcBorders>
              <w:top w:val="single" w:sz="4" w:space="0" w:color="auto"/>
              <w:bottom w:val="single" w:sz="4" w:space="0" w:color="auto"/>
            </w:tcBorders>
          </w:tcPr>
          <w:p w:rsidR="006D4833" w:rsidRPr="00854610" w:rsidRDefault="006D4833"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7324,8</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A84C37">
            <w:pPr>
              <w:spacing w:after="0" w:line="240" w:lineRule="auto"/>
              <w:ind w:firstLineChars="300" w:firstLine="720"/>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142,7</w:t>
            </w:r>
          </w:p>
        </w:tc>
        <w:tc>
          <w:tcPr>
            <w:tcW w:w="1559"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141,4</w:t>
            </w:r>
          </w:p>
        </w:tc>
        <w:tc>
          <w:tcPr>
            <w:tcW w:w="1417" w:type="dxa"/>
            <w:tcBorders>
              <w:top w:val="single" w:sz="4" w:space="0" w:color="auto"/>
              <w:left w:val="nil"/>
              <w:bottom w:val="single" w:sz="4" w:space="0" w:color="auto"/>
              <w:right w:val="nil"/>
            </w:tcBorders>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151,3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w:t>
            </w:r>
            <w:proofErr w:type="gramStart"/>
            <w:r>
              <w:rPr>
                <w:rFonts w:ascii="Times New Roman" w:hAnsi="Times New Roman"/>
                <w:bCs/>
                <w:i/>
                <w:sz w:val="24"/>
                <w:szCs w:val="24"/>
              </w:rPr>
              <w:t>с</w:t>
            </w:r>
            <w:proofErr w:type="gramEnd"/>
            <w:r>
              <w:rPr>
                <w:rFonts w:ascii="Times New Roman" w:hAnsi="Times New Roman"/>
                <w:bCs/>
                <w:i/>
                <w:sz w:val="24"/>
                <w:szCs w:val="24"/>
              </w:rPr>
              <w:t>/о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123,9</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121,3</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129,8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18,8</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20,1</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21,5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w:t>
      </w:r>
      <w:bookmarkStart w:id="0" w:name="_GoBack"/>
      <w:bookmarkEnd w:id="0"/>
      <w:r w:rsidRPr="00FF29FE">
        <w:rPr>
          <w:rFonts w:ascii="Times New Roman" w:hAnsi="Times New Roman"/>
          <w:sz w:val="28"/>
          <w:szCs w:val="28"/>
          <w:lang w:val="kk-KZ"/>
        </w:rPr>
        <w:t>шығындарды қамтитын білім беру, әлеуметтік қамтамасыз ету, мәдениет, спорт 12 389,0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Pr="00FF29FE">
        <w:rPr>
          <w:rFonts w:ascii="Times New Roman" w:hAnsi="Times New Roman"/>
          <w:sz w:val="28"/>
          <w:szCs w:val="28"/>
          <w:lang w:val="kk-KZ"/>
        </w:rPr>
        <w:t>37</w:t>
      </w:r>
      <w:r>
        <w:rPr>
          <w:rFonts w:ascii="Times New Roman" w:hAnsi="Times New Roman"/>
          <w:sz w:val="28"/>
          <w:szCs w:val="28"/>
          <w:lang w:val="kk-KZ"/>
        </w:rPr>
        <w:t>,4% құрайды</w:t>
      </w:r>
      <w:r w:rsidRPr="00FF29FE">
        <w:rPr>
          <w:rFonts w:ascii="Times New Roman" w:hAnsi="Times New Roman"/>
          <w:sz w:val="28"/>
          <w:szCs w:val="28"/>
          <w:lang w:val="kk-KZ"/>
        </w:rPr>
        <w:t xml:space="preserve">. Оның ішінде білім беруге арналған шығыстар </w:t>
      </w:r>
      <w:r>
        <w:rPr>
          <w:rFonts w:ascii="Times New Roman" w:hAnsi="Times New Roman"/>
          <w:sz w:val="28"/>
          <w:szCs w:val="28"/>
          <w:lang w:val="kk-KZ"/>
        </w:rPr>
        <w:t>84,8</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құрайды, әлеуметтік қамтамасыз ету 8,6% - ға, мәдениет, спорт және ақпараттық кеңістік 6,6 %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282,6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аппараты, қала әкімінің аппараты, қаржы бөлімі, экономика және бюджеттік жоспарлау бөлімі, аудандық тұрғын үй-коммуналдық шаруашылығы, жолаушылар көлігі және автомобиль жолдары бөлімі.</w:t>
      </w:r>
    </w:p>
    <w:p w:rsidR="00603AD9" w:rsidRDefault="00603AD9" w:rsidP="00A27C5D">
      <w:pPr>
        <w:spacing w:line="240" w:lineRule="auto"/>
        <w:jc w:val="center"/>
        <w:rPr>
          <w:rFonts w:ascii="Times New Roman" w:hAnsi="Times New Roman"/>
          <w:b/>
          <w:sz w:val="28"/>
          <w:szCs w:val="28"/>
          <w:lang w:val="kk-KZ"/>
        </w:rPr>
      </w:pPr>
      <w:proofErr w:type="spellStart"/>
      <w:r w:rsidRPr="00603AD9">
        <w:rPr>
          <w:rFonts w:ascii="Times New Roman" w:hAnsi="Times New Roman"/>
          <w:b/>
          <w:sz w:val="28"/>
          <w:szCs w:val="28"/>
        </w:rPr>
        <w:t>Қорғаныс</w:t>
      </w:r>
      <w:proofErr w:type="spellEnd"/>
    </w:p>
    <w:p w:rsidR="00573C90" w:rsidRPr="00603AD9" w:rsidRDefault="00573C90" w:rsidP="00A27C5D">
      <w:pPr>
        <w:spacing w:line="240" w:lineRule="auto"/>
        <w:jc w:val="both"/>
        <w:rPr>
          <w:rFonts w:ascii="Times New Roman" w:hAnsi="Times New Roman"/>
          <w:sz w:val="28"/>
          <w:szCs w:val="28"/>
        </w:rPr>
      </w:pPr>
      <w:r w:rsidRPr="00573C90">
        <w:rPr>
          <w:rFonts w:ascii="Times New Roman" w:hAnsi="Times New Roman"/>
          <w:b/>
          <w:sz w:val="28"/>
          <w:szCs w:val="28"/>
        </w:rPr>
        <w:lastRenderedPageBreak/>
        <w:tab/>
      </w:r>
      <w:r w:rsidR="00603AD9">
        <w:rPr>
          <w:rFonts w:ascii="Times New Roman" w:hAnsi="Times New Roman"/>
          <w:sz w:val="28"/>
          <w:szCs w:val="28"/>
          <w:lang w:val="kk-KZ"/>
        </w:rPr>
        <w:t>«</w:t>
      </w:r>
      <w:proofErr w:type="spellStart"/>
      <w:r w:rsidR="00603AD9" w:rsidRPr="00603AD9">
        <w:rPr>
          <w:rFonts w:ascii="Times New Roman" w:hAnsi="Times New Roman"/>
          <w:sz w:val="28"/>
          <w:szCs w:val="28"/>
        </w:rPr>
        <w:t>Қорғаныс</w:t>
      </w:r>
      <w:proofErr w:type="spellEnd"/>
      <w:r w:rsidR="00603AD9">
        <w:rPr>
          <w:rFonts w:ascii="Times New Roman" w:hAnsi="Times New Roman"/>
          <w:sz w:val="28"/>
          <w:szCs w:val="28"/>
          <w:lang w:val="kk-KZ"/>
        </w:rPr>
        <w:t>»</w:t>
      </w:r>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Функционалдық</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тобы</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бойынша</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қарастырылған</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шығыстар</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сомасы</w:t>
      </w:r>
      <w:proofErr w:type="spellEnd"/>
      <w:r w:rsidR="00603AD9" w:rsidRPr="00603AD9">
        <w:rPr>
          <w:rFonts w:ascii="Times New Roman" w:hAnsi="Times New Roman"/>
          <w:sz w:val="28"/>
          <w:szCs w:val="28"/>
        </w:rPr>
        <w:t xml:space="preserve"> 31,1 млн. </w:t>
      </w:r>
      <w:proofErr w:type="spellStart"/>
      <w:r w:rsidR="00603AD9" w:rsidRPr="00603AD9">
        <w:rPr>
          <w:rFonts w:ascii="Times New Roman" w:hAnsi="Times New Roman"/>
          <w:sz w:val="28"/>
          <w:szCs w:val="28"/>
        </w:rPr>
        <w:t>теңге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соның</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ішінде</w:t>
      </w:r>
      <w:proofErr w:type="spellEnd"/>
      <w:r w:rsidR="00603AD9">
        <w:rPr>
          <w:rFonts w:ascii="Times New Roman" w:hAnsi="Times New Roman"/>
          <w:sz w:val="28"/>
          <w:szCs w:val="28"/>
        </w:rPr>
        <w:t xml:space="preserve"> </w:t>
      </w:r>
      <w:proofErr w:type="spellStart"/>
      <w:r w:rsidR="00603AD9" w:rsidRPr="00603AD9">
        <w:rPr>
          <w:rFonts w:ascii="Times New Roman" w:hAnsi="Times New Roman"/>
          <w:sz w:val="28"/>
          <w:szCs w:val="28"/>
        </w:rPr>
        <w:t>жалпыға</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бірдей</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әскери</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міндеттілі</w:t>
      </w:r>
      <w:proofErr w:type="gramStart"/>
      <w:r w:rsidR="00603AD9" w:rsidRPr="00603AD9">
        <w:rPr>
          <w:rFonts w:ascii="Times New Roman" w:hAnsi="Times New Roman"/>
          <w:sz w:val="28"/>
          <w:szCs w:val="28"/>
        </w:rPr>
        <w:t>к</w:t>
      </w:r>
      <w:proofErr w:type="spellEnd"/>
      <w:r w:rsidR="00603AD9">
        <w:rPr>
          <w:rFonts w:ascii="Times New Roman" w:hAnsi="Times New Roman"/>
          <w:sz w:val="28"/>
          <w:szCs w:val="28"/>
        </w:rPr>
        <w:t xml:space="preserve"> </w:t>
      </w:r>
      <w:proofErr w:type="spellStart"/>
      <w:r w:rsidR="00603AD9">
        <w:rPr>
          <w:rFonts w:ascii="Times New Roman" w:hAnsi="Times New Roman"/>
          <w:sz w:val="28"/>
          <w:szCs w:val="28"/>
        </w:rPr>
        <w:t>ат</w:t>
      </w:r>
      <w:proofErr w:type="gramEnd"/>
      <w:r w:rsidR="00603AD9">
        <w:rPr>
          <w:rFonts w:ascii="Times New Roman" w:hAnsi="Times New Roman"/>
          <w:sz w:val="28"/>
          <w:szCs w:val="28"/>
        </w:rPr>
        <w:t>қару</w:t>
      </w:r>
      <w:proofErr w:type="spellEnd"/>
      <w:r w:rsidR="00603AD9">
        <w:rPr>
          <w:rFonts w:ascii="Times New Roman" w:hAnsi="Times New Roman"/>
          <w:sz w:val="28"/>
          <w:szCs w:val="28"/>
        </w:rPr>
        <w:t xml:space="preserve"> </w:t>
      </w:r>
      <w:proofErr w:type="spellStart"/>
      <w:r w:rsidR="00603AD9">
        <w:rPr>
          <w:rFonts w:ascii="Times New Roman" w:hAnsi="Times New Roman"/>
          <w:sz w:val="28"/>
          <w:szCs w:val="28"/>
        </w:rPr>
        <w:t>шеңберіндегі</w:t>
      </w:r>
      <w:proofErr w:type="spellEnd"/>
      <w:r w:rsidR="00603AD9">
        <w:rPr>
          <w:rFonts w:ascii="Times New Roman" w:hAnsi="Times New Roman"/>
          <w:sz w:val="28"/>
          <w:szCs w:val="28"/>
        </w:rPr>
        <w:t xml:space="preserve"> </w:t>
      </w:r>
      <w:proofErr w:type="spellStart"/>
      <w:r w:rsidR="00603AD9">
        <w:rPr>
          <w:rFonts w:ascii="Times New Roman" w:hAnsi="Times New Roman"/>
          <w:sz w:val="28"/>
          <w:szCs w:val="28"/>
        </w:rPr>
        <w:t>іс-шаралар</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және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төтенше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жағдай</w:t>
      </w:r>
      <w:proofErr w:type="spellEnd"/>
      <w:r w:rsidR="00603AD9">
        <w:rPr>
          <w:rFonts w:ascii="Times New Roman" w:hAnsi="Times New Roman"/>
          <w:sz w:val="28"/>
          <w:szCs w:val="28"/>
          <w:lang w:val="kk-KZ"/>
        </w:rPr>
        <w:t>ларын</w:t>
      </w:r>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ескерту</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және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жою</w:t>
      </w:r>
      <w:proofErr w:type="spellEnd"/>
      <w:r w:rsidR="00603AD9" w:rsidRPr="00603AD9">
        <w:rPr>
          <w:rFonts w:ascii="Times New Roman" w:hAnsi="Times New Roman"/>
          <w:sz w:val="28"/>
          <w:szCs w:val="28"/>
        </w:rPr>
        <w:t>.</w:t>
      </w:r>
      <w:r w:rsidRPr="00603AD9">
        <w:rPr>
          <w:rFonts w:ascii="Times New Roman" w:hAnsi="Times New Roman"/>
          <w:sz w:val="28"/>
          <w:szCs w:val="28"/>
        </w:rPr>
        <w:t xml:space="preserve"> </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573C90">
        <w:rPr>
          <w:rFonts w:ascii="Times New Roman" w:hAnsi="Times New Roman"/>
          <w:sz w:val="28"/>
          <w:szCs w:val="28"/>
        </w:rPr>
        <w:tab/>
      </w:r>
      <w:r w:rsidR="00603AD9" w:rsidRPr="00603AD9">
        <w:rPr>
          <w:rFonts w:ascii="Times New Roman" w:hAnsi="Times New Roman"/>
          <w:sz w:val="28"/>
          <w:szCs w:val="28"/>
        </w:rPr>
        <w:t xml:space="preserve">Осы </w:t>
      </w:r>
      <w:proofErr w:type="spellStart"/>
      <w:r w:rsidR="00603AD9" w:rsidRPr="00603AD9">
        <w:rPr>
          <w:rFonts w:ascii="Times New Roman" w:hAnsi="Times New Roman"/>
          <w:sz w:val="28"/>
          <w:szCs w:val="28"/>
        </w:rPr>
        <w:t>функционалдық</w:t>
      </w:r>
      <w:proofErr w:type="spellEnd"/>
      <w:r w:rsidR="00603AD9" w:rsidRPr="00603AD9">
        <w:rPr>
          <w:rFonts w:ascii="Times New Roman" w:hAnsi="Times New Roman"/>
          <w:sz w:val="28"/>
          <w:szCs w:val="28"/>
        </w:rPr>
        <w:t xml:space="preserve"> топ </w:t>
      </w:r>
      <w:proofErr w:type="spellStart"/>
      <w:r w:rsidR="00603AD9" w:rsidRPr="00603AD9">
        <w:rPr>
          <w:rFonts w:ascii="Times New Roman" w:hAnsi="Times New Roman"/>
          <w:sz w:val="28"/>
          <w:szCs w:val="28"/>
        </w:rPr>
        <w:t>бойынша</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шығындар</w:t>
      </w:r>
      <w:proofErr w:type="spellEnd"/>
      <w:r w:rsidR="00603AD9" w:rsidRPr="00603AD9">
        <w:rPr>
          <w:rFonts w:ascii="Times New Roman" w:hAnsi="Times New Roman"/>
          <w:sz w:val="28"/>
          <w:szCs w:val="28"/>
        </w:rPr>
        <w:t xml:space="preserve"> 131,4 млн. </w:t>
      </w:r>
      <w:proofErr w:type="spellStart"/>
      <w:r w:rsidR="00603AD9" w:rsidRPr="00603AD9">
        <w:rPr>
          <w:rFonts w:ascii="Times New Roman" w:hAnsi="Times New Roman"/>
          <w:sz w:val="28"/>
          <w:szCs w:val="28"/>
        </w:rPr>
        <w:t>теңге</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сомасында</w:t>
      </w:r>
      <w:proofErr w:type="spellEnd"/>
      <w:r w:rsidR="00603AD9">
        <w:rPr>
          <w:rFonts w:ascii="Times New Roman" w:hAnsi="Times New Roman"/>
          <w:sz w:val="28"/>
          <w:szCs w:val="28"/>
          <w:lang w:val="kk-KZ"/>
        </w:rPr>
        <w:t xml:space="preserve"> қарастырылған</w:t>
      </w:r>
      <w:r w:rsidR="00603AD9" w:rsidRPr="00603AD9">
        <w:rPr>
          <w:rFonts w:ascii="Times New Roman" w:hAnsi="Times New Roman"/>
          <w:sz w:val="28"/>
          <w:szCs w:val="28"/>
        </w:rPr>
        <w:t xml:space="preserve">. </w:t>
      </w:r>
      <w:r w:rsidR="002C18BD">
        <w:rPr>
          <w:rFonts w:ascii="Times New Roman" w:hAnsi="Times New Roman"/>
          <w:sz w:val="28"/>
          <w:szCs w:val="28"/>
          <w:lang w:val="kk-KZ"/>
        </w:rPr>
        <w:t>Ж</w:t>
      </w:r>
      <w:proofErr w:type="spellStart"/>
      <w:r w:rsidR="00603AD9" w:rsidRPr="00603AD9">
        <w:rPr>
          <w:rFonts w:ascii="Times New Roman" w:hAnsi="Times New Roman"/>
          <w:sz w:val="28"/>
          <w:szCs w:val="28"/>
        </w:rPr>
        <w:t>абдықтарды</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және</w:t>
      </w:r>
      <w:proofErr w:type="spellEnd"/>
      <w:r w:rsidR="00603AD9" w:rsidRPr="00603AD9">
        <w:rPr>
          <w:rFonts w:ascii="Times New Roman" w:hAnsi="Times New Roman"/>
          <w:sz w:val="28"/>
          <w:szCs w:val="28"/>
        </w:rPr>
        <w:t xml:space="preserve"> </w:t>
      </w:r>
      <w:proofErr w:type="spellStart"/>
      <w:r w:rsidR="002C18BD">
        <w:rPr>
          <w:rFonts w:ascii="Times New Roman" w:hAnsi="Times New Roman"/>
          <w:sz w:val="28"/>
          <w:szCs w:val="28"/>
        </w:rPr>
        <w:t>жол</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қозғалысын</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реттеу</w:t>
      </w:r>
      <w:proofErr w:type="spellEnd"/>
      <w:r w:rsidR="002C18BD">
        <w:rPr>
          <w:rFonts w:ascii="Times New Roman" w:hAnsi="Times New Roman"/>
          <w:sz w:val="28"/>
          <w:szCs w:val="28"/>
        </w:rPr>
        <w:t xml:space="preserve"> </w:t>
      </w:r>
      <w:proofErr w:type="spellStart"/>
      <w:r w:rsidR="002C18BD">
        <w:rPr>
          <w:rFonts w:ascii="Times New Roman" w:hAnsi="Times New Roman"/>
          <w:sz w:val="28"/>
          <w:szCs w:val="28"/>
        </w:rPr>
        <w:t>құралдар</w:t>
      </w:r>
      <w:proofErr w:type="spellEnd"/>
      <w:r w:rsidR="002C18BD">
        <w:rPr>
          <w:rFonts w:ascii="Times New Roman" w:hAnsi="Times New Roman"/>
          <w:sz w:val="28"/>
          <w:szCs w:val="28"/>
          <w:lang w:val="kk-KZ"/>
        </w:rPr>
        <w:t>мен</w:t>
      </w:r>
      <w:r w:rsidR="00603AD9" w:rsidRPr="00603AD9">
        <w:rPr>
          <w:rFonts w:ascii="Times New Roman" w:hAnsi="Times New Roman"/>
          <w:sz w:val="28"/>
          <w:szCs w:val="28"/>
        </w:rPr>
        <w:t xml:space="preserve"> </w:t>
      </w:r>
      <w:proofErr w:type="spellStart"/>
      <w:r w:rsidR="002C18BD" w:rsidRPr="00603AD9">
        <w:rPr>
          <w:rFonts w:ascii="Times New Roman" w:hAnsi="Times New Roman"/>
          <w:sz w:val="28"/>
          <w:szCs w:val="28"/>
        </w:rPr>
        <w:t>пайдалану</w:t>
      </w:r>
      <w:proofErr w:type="spellEnd"/>
      <w:r w:rsidR="002C18BD">
        <w:rPr>
          <w:rFonts w:ascii="Times New Roman" w:hAnsi="Times New Roman"/>
          <w:sz w:val="28"/>
          <w:szCs w:val="28"/>
          <w:lang w:val="kk-KZ"/>
        </w:rPr>
        <w:t xml:space="preserve"> шығыстары,</w:t>
      </w:r>
      <w:r w:rsidR="002C18BD" w:rsidRPr="00681D77">
        <w:rPr>
          <w:rFonts w:ascii="Times New Roman" w:hAnsi="Times New Roman"/>
          <w:sz w:val="28"/>
          <w:szCs w:val="28"/>
        </w:rPr>
        <w:t xml:space="preserve"> </w:t>
      </w:r>
      <w:proofErr w:type="spellStart"/>
      <w:r w:rsidR="00681D77" w:rsidRPr="00681D77">
        <w:rPr>
          <w:rFonts w:ascii="Times New Roman" w:hAnsi="Times New Roman"/>
          <w:sz w:val="28"/>
          <w:szCs w:val="28"/>
        </w:rPr>
        <w:t>айыппұл</w:t>
      </w:r>
      <w:proofErr w:type="spellEnd"/>
      <w:r w:rsidR="00681D77" w:rsidRPr="00681D77">
        <w:rPr>
          <w:rFonts w:ascii="Times New Roman" w:hAnsi="Times New Roman"/>
          <w:sz w:val="28"/>
          <w:szCs w:val="28"/>
        </w:rPr>
        <w:t xml:space="preserve"> </w:t>
      </w:r>
      <w:proofErr w:type="spellStart"/>
      <w:r w:rsidR="00681D77" w:rsidRPr="00681D77">
        <w:rPr>
          <w:rFonts w:ascii="Times New Roman" w:hAnsi="Times New Roman"/>
          <w:sz w:val="28"/>
          <w:szCs w:val="28"/>
        </w:rPr>
        <w:t>тұрағы</w:t>
      </w:r>
      <w:proofErr w:type="spellEnd"/>
      <w:r w:rsidR="00681D77">
        <w:rPr>
          <w:rFonts w:ascii="Times New Roman" w:hAnsi="Times New Roman"/>
          <w:sz w:val="28"/>
          <w:szCs w:val="28"/>
          <w:lang w:val="kk-KZ"/>
        </w:rPr>
        <w:t xml:space="preserve">н </w:t>
      </w:r>
      <w:proofErr w:type="spellStart"/>
      <w:r w:rsidR="002C18BD">
        <w:rPr>
          <w:rFonts w:ascii="Times New Roman" w:hAnsi="Times New Roman"/>
          <w:sz w:val="28"/>
          <w:szCs w:val="28"/>
        </w:rPr>
        <w:t>күтіп-ұстау</w:t>
      </w:r>
      <w:proofErr w:type="spellEnd"/>
      <w:r w:rsidR="002C18BD">
        <w:rPr>
          <w:rFonts w:ascii="Times New Roman" w:hAnsi="Times New Roman"/>
          <w:sz w:val="28"/>
          <w:szCs w:val="28"/>
          <w:lang w:val="kk-KZ"/>
        </w:rPr>
        <w:t xml:space="preserve"> шығыстары</w:t>
      </w:r>
      <w:r w:rsidR="00603AD9" w:rsidRPr="00603AD9">
        <w:rPr>
          <w:rFonts w:ascii="Times New Roman" w:hAnsi="Times New Roman"/>
          <w:sz w:val="28"/>
          <w:szCs w:val="28"/>
        </w:rPr>
        <w:t xml:space="preserve"> </w:t>
      </w:r>
      <w:r w:rsidR="002C18BD">
        <w:rPr>
          <w:rFonts w:ascii="Times New Roman" w:hAnsi="Times New Roman"/>
          <w:sz w:val="28"/>
          <w:szCs w:val="28"/>
          <w:lang w:val="kk-KZ"/>
        </w:rPr>
        <w:t xml:space="preserve">және </w:t>
      </w:r>
      <w:proofErr w:type="spellStart"/>
      <w:r w:rsidR="00603AD9" w:rsidRPr="00603AD9">
        <w:rPr>
          <w:rFonts w:ascii="Times New Roman" w:hAnsi="Times New Roman"/>
          <w:sz w:val="28"/>
          <w:szCs w:val="28"/>
        </w:rPr>
        <w:t>азаматтық</w:t>
      </w:r>
      <w:proofErr w:type="spellEnd"/>
      <w:r w:rsidR="00603AD9" w:rsidRPr="00603AD9">
        <w:rPr>
          <w:rFonts w:ascii="Times New Roman" w:hAnsi="Times New Roman"/>
          <w:sz w:val="28"/>
          <w:szCs w:val="28"/>
        </w:rPr>
        <w:t xml:space="preserve"> хал </w:t>
      </w:r>
      <w:proofErr w:type="spellStart"/>
      <w:r w:rsidR="00603AD9" w:rsidRPr="00603AD9">
        <w:rPr>
          <w:rFonts w:ascii="Times New Roman" w:hAnsi="Times New Roman"/>
          <w:sz w:val="28"/>
          <w:szCs w:val="28"/>
        </w:rPr>
        <w:t>актілерін</w:t>
      </w:r>
      <w:proofErr w:type="spellEnd"/>
      <w:r w:rsidR="00603AD9" w:rsidRPr="00603AD9">
        <w:rPr>
          <w:rFonts w:ascii="Times New Roman" w:hAnsi="Times New Roman"/>
          <w:sz w:val="28"/>
          <w:szCs w:val="28"/>
        </w:rPr>
        <w:t xml:space="preserve"> </w:t>
      </w:r>
      <w:proofErr w:type="spellStart"/>
      <w:r w:rsidR="00603AD9" w:rsidRPr="00603AD9">
        <w:rPr>
          <w:rFonts w:ascii="Times New Roman" w:hAnsi="Times New Roman"/>
          <w:sz w:val="28"/>
          <w:szCs w:val="28"/>
        </w:rPr>
        <w:t>тіркеу</w:t>
      </w:r>
      <w:proofErr w:type="spellEnd"/>
      <w:r w:rsidR="00681D77" w:rsidRPr="00681D77">
        <w:rPr>
          <w:rFonts w:ascii="Times New Roman" w:hAnsi="Times New Roman"/>
          <w:sz w:val="28"/>
          <w:szCs w:val="28"/>
        </w:rPr>
        <w:t xml:space="preserve"> </w:t>
      </w:r>
      <w:proofErr w:type="spellStart"/>
      <w:r w:rsidR="00681D77">
        <w:rPr>
          <w:rFonts w:ascii="Times New Roman" w:hAnsi="Times New Roman"/>
          <w:sz w:val="28"/>
          <w:szCs w:val="28"/>
        </w:rPr>
        <w:t>бөлімін</w:t>
      </w:r>
      <w:proofErr w:type="spellEnd"/>
      <w:r w:rsidR="00681D77">
        <w:rPr>
          <w:rFonts w:ascii="Times New Roman" w:hAnsi="Times New Roman"/>
          <w:sz w:val="28"/>
          <w:szCs w:val="28"/>
          <w:lang w:val="kk-KZ"/>
        </w:rPr>
        <w:t xml:space="preserve"> ұстау үшін ш</w:t>
      </w:r>
      <w:proofErr w:type="spellStart"/>
      <w:r w:rsidR="00681D77" w:rsidRPr="00603AD9">
        <w:rPr>
          <w:rFonts w:ascii="Times New Roman" w:hAnsi="Times New Roman"/>
          <w:sz w:val="28"/>
          <w:szCs w:val="28"/>
        </w:rPr>
        <w:t>ығыстар</w:t>
      </w:r>
      <w:proofErr w:type="spellEnd"/>
      <w:r w:rsidR="00681D77" w:rsidRPr="00603AD9">
        <w:rPr>
          <w:rFonts w:ascii="Times New Roman" w:hAnsi="Times New Roman"/>
          <w:sz w:val="28"/>
          <w:szCs w:val="28"/>
        </w:rPr>
        <w:t xml:space="preserve"> </w:t>
      </w:r>
      <w:proofErr w:type="spellStart"/>
      <w:r w:rsidR="00681D77" w:rsidRPr="00603AD9">
        <w:rPr>
          <w:rFonts w:ascii="Times New Roman" w:hAnsi="Times New Roman"/>
          <w:sz w:val="28"/>
          <w:szCs w:val="28"/>
        </w:rPr>
        <w:t>көзделген</w:t>
      </w:r>
      <w:proofErr w:type="spellEnd"/>
      <w:r w:rsidR="00603AD9" w:rsidRPr="00603AD9">
        <w:rPr>
          <w:rFonts w:ascii="Times New Roman" w:hAnsi="Times New Roman"/>
          <w:sz w:val="28"/>
          <w:szCs w:val="28"/>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бекітілген</w:t>
            </w:r>
            <w:proofErr w:type="spellEnd"/>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132,8</w:t>
            </w:r>
          </w:p>
        </w:tc>
        <w:tc>
          <w:tcPr>
            <w:tcW w:w="3119"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131,4</w:t>
            </w:r>
          </w:p>
        </w:tc>
        <w:tc>
          <w:tcPr>
            <w:tcW w:w="2657"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98,9</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84C37" w:rsidRDefault="00A84C37" w:rsidP="00A84C37">
      <w:pPr>
        <w:spacing w:after="0"/>
        <w:jc w:val="both"/>
        <w:rPr>
          <w:rFonts w:ascii="Times New Roman" w:hAnsi="Times New Roman"/>
          <w:sz w:val="28"/>
          <w:szCs w:val="28"/>
        </w:rPr>
      </w:pPr>
      <w:r w:rsidRPr="00A84C37">
        <w:rPr>
          <w:rFonts w:ascii="Times New Roman" w:hAnsi="Times New Roman"/>
          <w:sz w:val="28"/>
          <w:szCs w:val="28"/>
        </w:rPr>
        <w:tab/>
        <w:t xml:space="preserve"> «</w:t>
      </w:r>
      <w:r w:rsidRPr="00A84C37">
        <w:rPr>
          <w:rFonts w:ascii="Times New Roman" w:hAnsi="Times New Roman"/>
          <w:sz w:val="28"/>
          <w:szCs w:val="28"/>
          <w:lang w:val="kk-KZ"/>
        </w:rPr>
        <w:t>Білім</w:t>
      </w:r>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10 502,9 </w:t>
      </w:r>
      <w:proofErr w:type="gramStart"/>
      <w:r w:rsidRPr="00A84C37">
        <w:rPr>
          <w:rFonts w:ascii="Times New Roman" w:hAnsi="Times New Roman"/>
          <w:sz w:val="28"/>
          <w:szCs w:val="28"/>
          <w:lang w:val="kk-KZ"/>
        </w:rPr>
        <w:t>млн</w:t>
      </w:r>
      <w:proofErr w:type="gramEnd"/>
      <w:r w:rsidRPr="00A84C37">
        <w:rPr>
          <w:rFonts w:ascii="Times New Roman" w:hAnsi="Times New Roman"/>
          <w:sz w:val="28"/>
          <w:szCs w:val="28"/>
          <w:lang w:val="kk-KZ"/>
        </w:rPr>
        <w:t xml:space="preserve"> теңге сомасында қарастырылған.</w:t>
      </w:r>
    </w:p>
    <w:p w:rsidR="00A84C37" w:rsidRPr="00A84C37" w:rsidRDefault="00A84C37" w:rsidP="00A84C37">
      <w:pPr>
        <w:spacing w:after="0"/>
        <w:ind w:firstLine="708"/>
        <w:jc w:val="both"/>
        <w:rPr>
          <w:rFonts w:ascii="Times New Roman" w:hAnsi="Times New Roman"/>
          <w:sz w:val="28"/>
          <w:szCs w:val="28"/>
        </w:rPr>
      </w:pPr>
      <w:r w:rsidRPr="00A84C37">
        <w:rPr>
          <w:rFonts w:ascii="Times New Roman" w:hAnsi="Times New Roman"/>
          <w:sz w:val="28"/>
          <w:szCs w:val="28"/>
        </w:rPr>
        <w:t xml:space="preserve"> </w:t>
      </w:r>
      <w:r w:rsidRPr="00A84C37">
        <w:rPr>
          <w:rFonts w:ascii="Times New Roman" w:hAnsi="Times New Roman"/>
          <w:b/>
          <w:sz w:val="28"/>
          <w:szCs w:val="28"/>
        </w:rPr>
        <w:t>«</w:t>
      </w:r>
      <w:r w:rsidRPr="00A84C37">
        <w:rPr>
          <w:rFonts w:ascii="Times New Roman" w:hAnsi="Times New Roman"/>
          <w:b/>
          <w:sz w:val="28"/>
          <w:szCs w:val="28"/>
          <w:lang w:val="kk-KZ"/>
        </w:rPr>
        <w:t>Жалпы білім беру</w:t>
      </w:r>
      <w:r w:rsidRPr="00A84C37">
        <w:rPr>
          <w:rFonts w:ascii="Times New Roman" w:hAnsi="Times New Roman"/>
          <w:b/>
          <w:sz w:val="28"/>
          <w:szCs w:val="28"/>
        </w:rPr>
        <w:t>»</w:t>
      </w:r>
      <w:r w:rsidRPr="00A84C37">
        <w:rPr>
          <w:rFonts w:ascii="Times New Roman" w:hAnsi="Times New Roman"/>
          <w:sz w:val="28"/>
          <w:szCs w:val="28"/>
        </w:rPr>
        <w:t xml:space="preserve"> </w:t>
      </w:r>
      <w:r w:rsidRPr="00A84C37">
        <w:rPr>
          <w:rFonts w:ascii="Times New Roman" w:hAnsi="Times New Roman"/>
          <w:sz w:val="28"/>
          <w:szCs w:val="28"/>
          <w:lang w:val="kk-KZ"/>
        </w:rPr>
        <w:t xml:space="preserve">бағдарламасы бойынша 4 775,9 </w:t>
      </w:r>
      <w:proofErr w:type="gramStart"/>
      <w:r w:rsidRPr="00A84C37">
        <w:rPr>
          <w:rFonts w:ascii="Times New Roman" w:hAnsi="Times New Roman"/>
          <w:sz w:val="28"/>
          <w:szCs w:val="28"/>
          <w:lang w:val="kk-KZ"/>
        </w:rPr>
        <w:t>млн</w:t>
      </w:r>
      <w:proofErr w:type="gramEnd"/>
      <w:r w:rsidRPr="00A84C37">
        <w:rPr>
          <w:rFonts w:ascii="Times New Roman" w:hAnsi="Times New Roman"/>
          <w:sz w:val="28"/>
          <w:szCs w:val="28"/>
          <w:lang w:val="kk-KZ"/>
        </w:rPr>
        <w:t xml:space="preserve"> теңге сомасында шығындар қарастырылған.</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28"/>
          <w:szCs w:val="28"/>
          <w:lang w:val="kk-KZ"/>
        </w:rPr>
        <w:t xml:space="preserve">Білім беру ұйымдарының кезеңдік жөндеу тәжірибесі жалғастырылатын болады. </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32"/>
          <w:szCs w:val="32"/>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№1, 4, 13 ОМ жапсаржай құрылысына ЖСҚ әзірлеуге қаражаттар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900 орындық типтік мектеп құрылысына, Краснояр жолы бойынша ОТК құрылысына және №18 ОМ 420 орындық жапсаржай құрылысына 1025,7 млн теңге трасферттер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Сонымен, облыстық бюджет қаражаты есебінен №18 ОМ терезе және есік блоктарын ауыстырумен қасбетті күрделі жөндеуге 46,8 млн. теңге трансферттер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lastRenderedPageBreak/>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9105,0</w:t>
            </w:r>
          </w:p>
        </w:tc>
        <w:tc>
          <w:tcPr>
            <w:tcW w:w="3119" w:type="dxa"/>
            <w:tcBorders>
              <w:top w:val="single" w:sz="4" w:space="0" w:color="auto"/>
              <w:left w:val="nil"/>
              <w:bottom w:val="nil"/>
              <w:right w:val="nil"/>
            </w:tcBorders>
            <w:hideMark/>
          </w:tcPr>
          <w:p w:rsidR="00A84C37" w:rsidRPr="00A84C37" w:rsidRDefault="00A84C37" w:rsidP="00A84C37">
            <w:pPr>
              <w:spacing w:after="0" w:line="240" w:lineRule="auto"/>
              <w:jc w:val="center"/>
              <w:rPr>
                <w:bCs/>
                <w:i/>
                <w:lang w:val="kk-KZ"/>
              </w:rPr>
            </w:pPr>
            <w:r w:rsidRPr="00A84C37">
              <w:rPr>
                <w:bCs/>
                <w:i/>
                <w:lang w:val="kk-KZ"/>
              </w:rPr>
              <w:t>10502,9</w:t>
            </w:r>
          </w:p>
        </w:tc>
        <w:tc>
          <w:tcPr>
            <w:tcW w:w="2657" w:type="dxa"/>
            <w:tcBorders>
              <w:top w:val="single" w:sz="4" w:space="0" w:color="auto"/>
              <w:left w:val="nil"/>
              <w:bottom w:val="nil"/>
              <w:right w:val="nil"/>
            </w:tcBorders>
            <w:hideMark/>
          </w:tcPr>
          <w:p w:rsidR="00A84C37" w:rsidRPr="00A84C37" w:rsidRDefault="00A84C37" w:rsidP="00A84C37">
            <w:pPr>
              <w:spacing w:after="0" w:line="240" w:lineRule="auto"/>
              <w:jc w:val="center"/>
              <w:rPr>
                <w:i/>
                <w:color w:val="000000"/>
              </w:rPr>
            </w:pPr>
            <w:r w:rsidRPr="00A84C37">
              <w:rPr>
                <w:i/>
                <w:color w:val="000000"/>
                <w:lang w:eastAsia="ru-RU"/>
              </w:rPr>
              <w:t>115,3</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proofErr w:type="gramStart"/>
      <w:r w:rsidRPr="00A84C37">
        <w:rPr>
          <w:rFonts w:ascii="Times New Roman" w:hAnsi="Times New Roman"/>
          <w:sz w:val="28"/>
          <w:szCs w:val="28"/>
        </w:rPr>
        <w:t>к</w:t>
      </w:r>
      <w:proofErr w:type="gramEnd"/>
      <w:r w:rsidRPr="00A84C37">
        <w:rPr>
          <w:rFonts w:ascii="Times New Roman" w:hAnsi="Times New Roman"/>
          <w:sz w:val="28"/>
          <w:szCs w:val="28"/>
        </w:rPr>
        <w:t>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функционалдық тобы бойынша шығындар 1061,4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Медицина жоғары оқу орындарында соңғы курста оқып жүрген, жұмысқа орналастыру туралы шарт жасалған студентердін оқуына төлеу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Республикалық және облыстық бюджет трасферттері есебінен 226,4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Жаңа форматтағы  МӘК– 23,9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Жұмыспен қамту орталығына консультанттарды енгізуге – 3,5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Техникалық және көмекші құралдар тізімін ұлғайтуға - 10,7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-33,0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Аймақтарға өз еркімен қоныс аударатын тұлғаларға мемлекеттік қолдау шараларын көрсетуге -1,0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 Мүгедектерге міндетті гигиеналық құралдарын сатып алуға – 60,0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 «Инватакси» қызметтерін дамытуға мемлекеттік тапсырысты орналастыруға -4,4 млн. тенге,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Қимыл тілдерінің мамандарының қызметіне – 9,9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lastRenderedPageBreak/>
        <w:t xml:space="preserve">Үкіметті емес ұйымдарда мемлекеттік әлеуметтік тапсырысты орналастыруға - 48,7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Арнайы әлеуметтік орындарға– 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Мүгедектер және кәрілерге мемлекеттік әлеуметтік тапсырыс аясында арнайы әлеуметтік қызметтерді көрсетуге -11,5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Оралмандар және қоныс аударушылар үшін тұрғын-үй жалдау (жалға алу) бойынша шығындарды өтеуге субсидиялар -2,3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 мерзімді кәсіби оқытуды әске асыру -16,5 млн.теңге).</w:t>
      </w:r>
    </w:p>
    <w:p w:rsidR="00A84C37" w:rsidRPr="00A84C37" w:rsidRDefault="00A84C37" w:rsidP="00A84C37">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890,8</w:t>
            </w:r>
          </w:p>
        </w:tc>
        <w:tc>
          <w:tcPr>
            <w:tcW w:w="3119" w:type="dxa"/>
            <w:tcBorders>
              <w:top w:val="single" w:sz="4" w:space="0" w:color="auto"/>
              <w:left w:val="nil"/>
              <w:bottom w:val="nil"/>
              <w:right w:val="nil"/>
            </w:tcBorders>
            <w:hideMark/>
          </w:tcPr>
          <w:p w:rsidR="00A84C37" w:rsidRPr="00A84C37" w:rsidRDefault="00A84C37" w:rsidP="00A84C37">
            <w:pPr>
              <w:spacing w:after="0" w:line="240" w:lineRule="auto"/>
              <w:jc w:val="center"/>
              <w:rPr>
                <w:bCs/>
                <w:i/>
                <w:lang w:val="kk-KZ"/>
              </w:rPr>
            </w:pPr>
            <w:r w:rsidRPr="00A84C37">
              <w:rPr>
                <w:bCs/>
                <w:i/>
                <w:lang w:val="kk-KZ"/>
              </w:rPr>
              <w:t>1061,4</w:t>
            </w:r>
          </w:p>
        </w:tc>
        <w:tc>
          <w:tcPr>
            <w:tcW w:w="2657" w:type="dxa"/>
            <w:tcBorders>
              <w:top w:val="single" w:sz="4" w:space="0" w:color="auto"/>
              <w:left w:val="nil"/>
              <w:bottom w:val="nil"/>
              <w:right w:val="nil"/>
            </w:tcBorders>
            <w:hideMark/>
          </w:tcPr>
          <w:p w:rsidR="00A84C37" w:rsidRPr="00A84C37" w:rsidRDefault="00A84C37" w:rsidP="00A84C37">
            <w:pPr>
              <w:spacing w:after="0" w:line="240" w:lineRule="auto"/>
              <w:jc w:val="center"/>
              <w:rPr>
                <w:i/>
                <w:color w:val="000000"/>
              </w:rPr>
            </w:pPr>
            <w:r w:rsidRPr="00A84C37">
              <w:rPr>
                <w:i/>
                <w:color w:val="000000"/>
                <w:lang w:eastAsia="ru-RU"/>
              </w:rPr>
              <w:t>119,2</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w:t>
      </w:r>
      <w:proofErr w:type="gramStart"/>
      <w:r w:rsidRPr="00A84C37">
        <w:rPr>
          <w:rFonts w:ascii="Times New Roman" w:hAnsi="Times New Roman"/>
          <w:sz w:val="28"/>
          <w:szCs w:val="28"/>
          <w:lang w:val="kk-KZ"/>
        </w:rPr>
        <w:t>р</w:t>
      </w:r>
      <w:proofErr w:type="gramEnd"/>
      <w:r w:rsidRPr="00A84C37">
        <w:rPr>
          <w:rFonts w:ascii="Times New Roman" w:hAnsi="Times New Roman"/>
          <w:sz w:val="28"/>
          <w:szCs w:val="28"/>
          <w:lang w:val="kk-KZ"/>
        </w:rPr>
        <w:t>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функционалдық тобы бойынша  10198,2 млн. теңге сомасында қарастырылған, соның ішінде: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A84C37" w:rsidRPr="00A84C37" w:rsidRDefault="00A84C37" w:rsidP="00A84C37">
      <w:pPr>
        <w:spacing w:after="0"/>
        <w:jc w:val="both"/>
        <w:rPr>
          <w:rFonts w:ascii="Times New Roman" w:hAnsi="Times New Roman"/>
          <w:sz w:val="28"/>
          <w:szCs w:val="28"/>
        </w:rPr>
      </w:pPr>
      <w:r w:rsidRPr="00A84C37">
        <w:rPr>
          <w:rFonts w:ascii="Times New Roman" w:hAnsi="Times New Roman"/>
          <w:sz w:val="28"/>
          <w:szCs w:val="28"/>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Тұрғын-үй коммуналдық шаруашылығы саласында ары қарай облыстық орталықты дамыту мақсатында 564 млн теңге сомасында Юбилейный ш/а аула аумағын жөндеуді аяқтауға және Абай-Тәшенов-Әуезов-Пушкина көшелерінің аула аумағын жөндеуге трансферттер қарастырылған.</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Мемлекетттік тұрғын үй қорының лифтік шаруашылықты күрделі жөндеуді аяқтауға </w:t>
      </w:r>
      <w:r w:rsidRPr="00A84C37">
        <w:rPr>
          <w:rFonts w:ascii="Times New Roman" w:hAnsi="Times New Roman"/>
          <w:i/>
          <w:sz w:val="28"/>
          <w:szCs w:val="28"/>
          <w:lang w:val="kk-KZ"/>
        </w:rPr>
        <w:t>(2 лифт</w:t>
      </w:r>
      <w:r w:rsidRPr="00A84C37">
        <w:rPr>
          <w:rFonts w:ascii="Times New Roman" w:hAnsi="Times New Roman"/>
          <w:sz w:val="28"/>
          <w:szCs w:val="28"/>
          <w:lang w:val="kk-KZ"/>
        </w:rPr>
        <w:t>)</w:t>
      </w:r>
      <w:r w:rsidRPr="00A84C37">
        <w:rPr>
          <w:rFonts w:ascii="Times New Roman" w:hAnsi="Times New Roman"/>
          <w:b/>
          <w:sz w:val="28"/>
          <w:szCs w:val="28"/>
          <w:lang w:val="kk-KZ"/>
        </w:rPr>
        <w:t xml:space="preserve"> 21 млн. теңге;</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«Нұрлы жер» тұрғын-үй құрылысы жаңа бағдарламасының іске асырылуы басталды. Аталған бағдарлама аясында халықтың әлеуметтік-осал тұрғындары үшін жалға алу тұрғын үй қорын құруға, сондай-ақ тұрғындарды жалға алу тұрғын үйімен қамтамасыз етуге </w:t>
      </w:r>
      <w:r w:rsidRPr="00A84C37">
        <w:rPr>
          <w:rFonts w:ascii="Times New Roman" w:hAnsi="Times New Roman"/>
          <w:sz w:val="28"/>
          <w:szCs w:val="28"/>
          <w:lang w:val="kk-KZ"/>
        </w:rPr>
        <w:lastRenderedPageBreak/>
        <w:t xml:space="preserve">республикалық және облыстық бюджет есебінен </w:t>
      </w:r>
      <w:r w:rsidRPr="00A84C37">
        <w:rPr>
          <w:rFonts w:ascii="Times New Roman" w:hAnsi="Times New Roman"/>
          <w:b/>
          <w:sz w:val="28"/>
          <w:szCs w:val="28"/>
          <w:lang w:val="kk-KZ"/>
        </w:rPr>
        <w:t>1408,6 млн теңге</w:t>
      </w:r>
      <w:r w:rsidRPr="00A84C37">
        <w:rPr>
          <w:rFonts w:ascii="Times New Roman" w:hAnsi="Times New Roman"/>
          <w:sz w:val="28"/>
          <w:szCs w:val="28"/>
          <w:lang w:val="kk-KZ"/>
        </w:rPr>
        <w:t xml:space="preserve"> сомасында трансферттер, сондай-ақ мемлекеттік бағалы құжаттарды шығару  арқылы тұрғын үйді несиелеу есебінен </w:t>
      </w:r>
      <w:r w:rsidRPr="00A84C37">
        <w:rPr>
          <w:rFonts w:ascii="Times New Roman" w:hAnsi="Times New Roman"/>
          <w:b/>
          <w:sz w:val="28"/>
          <w:szCs w:val="28"/>
          <w:lang w:val="kk-KZ"/>
        </w:rPr>
        <w:t>3,1 млрд. теңге</w:t>
      </w:r>
      <w:r w:rsidRPr="00A84C37">
        <w:rPr>
          <w:rFonts w:ascii="Times New Roman" w:hAnsi="Times New Roman"/>
          <w:sz w:val="28"/>
          <w:szCs w:val="28"/>
          <w:lang w:val="kk-KZ"/>
        </w:rPr>
        <w:t xml:space="preserve"> </w:t>
      </w:r>
      <w:r w:rsidRPr="00A84C37">
        <w:rPr>
          <w:rFonts w:ascii="Times New Roman" w:hAnsi="Times New Roman"/>
          <w:b/>
          <w:sz w:val="28"/>
          <w:szCs w:val="28"/>
          <w:lang w:val="kk-KZ"/>
        </w:rPr>
        <w:t>көп пәтерлі тұрғын үйлер</w:t>
      </w:r>
      <w:r w:rsidRPr="00A84C37">
        <w:rPr>
          <w:rFonts w:ascii="Times New Roman" w:hAnsi="Times New Roman"/>
          <w:sz w:val="28"/>
          <w:szCs w:val="28"/>
          <w:lang w:val="kk-KZ"/>
        </w:rPr>
        <w:t xml:space="preserve"> құрылысына бөлінеді.</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инженерлік желілер құрылысына 2680,2 млн. теңге қарастырылған.</w:t>
      </w:r>
    </w:p>
    <w:p w:rsidR="00A84C37" w:rsidRPr="00A84C37" w:rsidRDefault="00A84C37" w:rsidP="00A84C37">
      <w:pPr>
        <w:widowControl w:val="0"/>
        <w:pBdr>
          <w:bottom w:val="single" w:sz="4" w:space="31" w:color="FFFFFF"/>
        </w:pBdr>
        <w:tabs>
          <w:tab w:val="num" w:pos="0"/>
        </w:tabs>
        <w:autoSpaceDE w:val="0"/>
        <w:autoSpaceDN w:val="0"/>
        <w:adjustRightInd w:val="0"/>
        <w:spacing w:after="0" w:line="360" w:lineRule="auto"/>
        <w:ind w:firstLine="709"/>
        <w:jc w:val="both"/>
        <w:rPr>
          <w:rFonts w:ascii="Times New Roman" w:hAnsi="Times New Roman"/>
          <w:bCs/>
          <w:kern w:val="28"/>
          <w:sz w:val="28"/>
          <w:szCs w:val="28"/>
          <w:lang w:val="kk-KZ"/>
        </w:rPr>
      </w:pPr>
      <w:r w:rsidRPr="00A84C37">
        <w:rPr>
          <w:rFonts w:ascii="Times New Roman" w:hAnsi="Times New Roman"/>
          <w:bCs/>
          <w:kern w:val="28"/>
          <w:sz w:val="28"/>
          <w:szCs w:val="28"/>
          <w:lang w:val="kk-KZ"/>
        </w:rPr>
        <w:t xml:space="preserve">Сонымен қатар, облыстық бюджеттен «Көкшетау қаласында су құбырларының тазартқыш құрылыстарын ұлғайту және қалпына келтіру» жобасы ЖСҚ түзетуге  </w:t>
      </w:r>
      <w:r w:rsidRPr="00A84C37">
        <w:rPr>
          <w:rFonts w:ascii="Times New Roman" w:hAnsi="Times New Roman"/>
          <w:b/>
          <w:bCs/>
          <w:kern w:val="28"/>
          <w:sz w:val="28"/>
          <w:szCs w:val="28"/>
          <w:lang w:val="kk-KZ"/>
        </w:rPr>
        <w:t xml:space="preserve">91,6 млн. теңге </w:t>
      </w:r>
      <w:r w:rsidRPr="00A84C37">
        <w:rPr>
          <w:rFonts w:ascii="Times New Roman" w:hAnsi="Times New Roman"/>
          <w:bCs/>
          <w:kern w:val="28"/>
          <w:sz w:val="28"/>
          <w:szCs w:val="28"/>
          <w:lang w:val="kk-KZ"/>
        </w:rPr>
        <w:t>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7052,2</w:t>
            </w:r>
          </w:p>
        </w:tc>
        <w:tc>
          <w:tcPr>
            <w:tcW w:w="3119" w:type="dxa"/>
            <w:tcBorders>
              <w:top w:val="single" w:sz="4" w:space="0" w:color="auto"/>
              <w:left w:val="nil"/>
              <w:bottom w:val="nil"/>
              <w:right w:val="nil"/>
            </w:tcBorders>
            <w:hideMark/>
          </w:tcPr>
          <w:p w:rsidR="00A84C37" w:rsidRPr="00A84C37" w:rsidRDefault="00A84C37" w:rsidP="00A84C37">
            <w:pPr>
              <w:spacing w:after="0" w:line="240" w:lineRule="auto"/>
              <w:jc w:val="center"/>
              <w:rPr>
                <w:bCs/>
                <w:i/>
                <w:lang w:val="kk-KZ"/>
              </w:rPr>
            </w:pPr>
            <w:r w:rsidRPr="00A84C37">
              <w:rPr>
                <w:bCs/>
                <w:i/>
                <w:lang w:val="kk-KZ"/>
              </w:rPr>
              <w:t>10198,3</w:t>
            </w:r>
          </w:p>
        </w:tc>
        <w:tc>
          <w:tcPr>
            <w:tcW w:w="2657" w:type="dxa"/>
            <w:tcBorders>
              <w:top w:val="single" w:sz="4" w:space="0" w:color="auto"/>
              <w:left w:val="nil"/>
              <w:bottom w:val="nil"/>
              <w:right w:val="nil"/>
            </w:tcBorders>
            <w:hideMark/>
          </w:tcPr>
          <w:p w:rsidR="00A84C37" w:rsidRPr="00A84C37" w:rsidRDefault="00A84C37" w:rsidP="00A84C37">
            <w:pPr>
              <w:spacing w:after="0" w:line="240" w:lineRule="auto"/>
              <w:jc w:val="center"/>
              <w:rPr>
                <w:i/>
                <w:color w:val="000000"/>
              </w:rPr>
            </w:pPr>
            <w:r w:rsidRPr="00A84C37">
              <w:rPr>
                <w:i/>
                <w:color w:val="000000"/>
                <w:lang w:eastAsia="ru-RU"/>
              </w:rPr>
              <w:t>144,6</w:t>
            </w:r>
          </w:p>
        </w:tc>
      </w:tr>
    </w:tbl>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bCs/>
          <w:kern w:val="28"/>
          <w:sz w:val="28"/>
          <w:szCs w:val="28"/>
        </w:rPr>
      </w:pPr>
    </w:p>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w:t>
      </w:r>
      <w:proofErr w:type="gramStart"/>
      <w:r w:rsidRPr="0046055C">
        <w:rPr>
          <w:rFonts w:ascii="Times New Roman" w:hAnsi="Times New Roman"/>
          <w:b/>
          <w:sz w:val="28"/>
          <w:szCs w:val="28"/>
        </w:rPr>
        <w:t>ст</w:t>
      </w:r>
      <w:proofErr w:type="gramEnd"/>
      <w:r w:rsidRPr="0046055C">
        <w:rPr>
          <w:rFonts w:ascii="Times New Roman" w:hAnsi="Times New Roman"/>
          <w:b/>
          <w:sz w:val="28"/>
          <w:szCs w:val="28"/>
        </w:rPr>
        <w:t>ік</w:t>
      </w:r>
      <w:proofErr w:type="spellEnd"/>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функционалдық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тобы</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бойынша</w:t>
      </w:r>
      <w:proofErr w:type="spellEnd"/>
      <w:r w:rsidR="0046055C" w:rsidRPr="0046055C">
        <w:rPr>
          <w:rFonts w:ascii="Times New Roman" w:hAnsi="Times New Roman"/>
          <w:sz w:val="28"/>
          <w:szCs w:val="28"/>
        </w:rPr>
        <w:t xml:space="preserve">   824,6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w:t>
      </w:r>
      <w:proofErr w:type="gramStart"/>
      <w:r w:rsidR="0046055C">
        <w:rPr>
          <w:rFonts w:ascii="Times New Roman" w:hAnsi="Times New Roman"/>
          <w:sz w:val="28"/>
          <w:szCs w:val="28"/>
        </w:rPr>
        <w:t>р</w:t>
      </w:r>
      <w:proofErr w:type="spellEnd"/>
      <w:proofErr w:type="gram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w:t>
      </w:r>
      <w:proofErr w:type="gramStart"/>
      <w:r w:rsidRPr="0046055C">
        <w:rPr>
          <w:rFonts w:ascii="Times New Roman" w:hAnsi="Times New Roman"/>
          <w:sz w:val="28"/>
          <w:szCs w:val="28"/>
        </w:rPr>
        <w:t>аралы</w:t>
      </w:r>
      <w:proofErr w:type="gramEnd"/>
      <w:r w:rsidRPr="0046055C">
        <w:rPr>
          <w:rFonts w:ascii="Times New Roman" w:hAnsi="Times New Roman"/>
          <w:sz w:val="28"/>
          <w:szCs w:val="28"/>
        </w:rPr>
        <w:t>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gramStart"/>
      <w:r w:rsidRPr="0046055C">
        <w:rPr>
          <w:rFonts w:ascii="Times New Roman" w:hAnsi="Times New Roman"/>
          <w:sz w:val="28"/>
          <w:szCs w:val="28"/>
        </w:rPr>
        <w:t xml:space="preserve">спорт </w:t>
      </w:r>
      <w:proofErr w:type="spellStart"/>
      <w:r w:rsidRPr="0046055C">
        <w:rPr>
          <w:rFonts w:ascii="Times New Roman" w:hAnsi="Times New Roman"/>
          <w:sz w:val="28"/>
          <w:szCs w:val="28"/>
        </w:rPr>
        <w:t>б</w:t>
      </w:r>
      <w:proofErr w:type="gramEnd"/>
      <w:r w:rsidRPr="0046055C">
        <w:rPr>
          <w:rFonts w:ascii="Times New Roman" w:hAnsi="Times New Roman"/>
          <w:sz w:val="28"/>
          <w:szCs w:val="28"/>
        </w:rPr>
        <w:t>өлімі</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roofErr w:type="spellStart"/>
      <w:r w:rsidRPr="0046055C">
        <w:rPr>
          <w:rFonts w:ascii="Times New Roman" w:hAnsi="Times New Roman"/>
          <w:sz w:val="28"/>
          <w:szCs w:val="28"/>
        </w:rPr>
        <w:t>Сондай-ақ</w:t>
      </w:r>
      <w:proofErr w:type="spellEnd"/>
      <w:r w:rsidRPr="0046055C">
        <w:rPr>
          <w:rFonts w:ascii="Times New Roman" w:hAnsi="Times New Roman"/>
          <w:sz w:val="28"/>
          <w:szCs w:val="28"/>
        </w:rPr>
        <w:t xml:space="preserve">, </w:t>
      </w:r>
      <w:r>
        <w:rPr>
          <w:rFonts w:ascii="Times New Roman" w:hAnsi="Times New Roman"/>
          <w:sz w:val="28"/>
          <w:szCs w:val="28"/>
          <w:lang w:val="kk-KZ"/>
        </w:rPr>
        <w:t>«Р</w:t>
      </w:r>
      <w:proofErr w:type="spellStart"/>
      <w:r w:rsidRPr="0046055C">
        <w:rPr>
          <w:rFonts w:ascii="Times New Roman" w:hAnsi="Times New Roman"/>
          <w:sz w:val="28"/>
          <w:szCs w:val="28"/>
        </w:rPr>
        <w:t>еволюция</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күресшілері</w:t>
      </w:r>
      <w:proofErr w:type="spellEnd"/>
      <w:r>
        <w:rPr>
          <w:rFonts w:ascii="Times New Roman" w:hAnsi="Times New Roman"/>
          <w:sz w:val="28"/>
          <w:szCs w:val="28"/>
          <w:lang w:val="kk-KZ"/>
        </w:rPr>
        <w:t xml:space="preserve">» </w:t>
      </w:r>
      <w:proofErr w:type="spellStart"/>
      <w:r w:rsidRPr="0046055C">
        <w:rPr>
          <w:rFonts w:ascii="Times New Roman" w:hAnsi="Times New Roman"/>
          <w:sz w:val="28"/>
          <w:szCs w:val="28"/>
        </w:rPr>
        <w:t>паркін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қайта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жаң</w:t>
      </w:r>
      <w:proofErr w:type="gramStart"/>
      <w:r w:rsidRPr="0046055C">
        <w:rPr>
          <w:rFonts w:ascii="Times New Roman" w:hAnsi="Times New Roman"/>
          <w:sz w:val="28"/>
          <w:szCs w:val="28"/>
        </w:rPr>
        <w:t>арту</w:t>
      </w:r>
      <w:proofErr w:type="gramEnd"/>
      <w:r w:rsidRPr="0046055C">
        <w:rPr>
          <w:rFonts w:ascii="Times New Roman" w:hAnsi="Times New Roman"/>
          <w:sz w:val="28"/>
          <w:szCs w:val="28"/>
        </w:rPr>
        <w:t>ға</w:t>
      </w:r>
      <w:proofErr w:type="spellEnd"/>
      <w:r w:rsidRPr="0046055C">
        <w:rPr>
          <w:rFonts w:ascii="Times New Roman" w:hAnsi="Times New Roman"/>
          <w:sz w:val="28"/>
          <w:szCs w:val="28"/>
        </w:rPr>
        <w:t xml:space="preserve"> 395,5 млн. </w:t>
      </w:r>
      <w:proofErr w:type="spellStart"/>
      <w:r w:rsidRPr="0046055C">
        <w:rPr>
          <w:rFonts w:ascii="Times New Roman" w:hAnsi="Times New Roman"/>
          <w:sz w:val="28"/>
          <w:szCs w:val="28"/>
        </w:rPr>
        <w:t>теңге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сомасында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облыстық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бюджеттен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трансферттер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қарастырылған</w:t>
      </w:r>
      <w:proofErr w:type="spellEnd"/>
      <w:r>
        <w:rPr>
          <w:rFonts w:ascii="Times New Roman" w:hAnsi="Times New Roman"/>
          <w:sz w:val="28"/>
          <w:szCs w:val="28"/>
          <w:lang w:val="kk-KZ"/>
        </w:rPr>
        <w:t>.</w:t>
      </w:r>
      <w:r w:rsidRPr="0046055C">
        <w:rPr>
          <w:rFonts w:ascii="Times New Roman" w:hAnsi="Times New Roman"/>
          <w:sz w:val="28"/>
          <w:szCs w:val="28"/>
        </w:rPr>
        <w:t xml:space="preserve"> </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004447">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lastRenderedPageBreak/>
              <w:t>795,7</w:t>
            </w:r>
          </w:p>
        </w:tc>
        <w:tc>
          <w:tcPr>
            <w:tcW w:w="3119"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824,6</w:t>
            </w:r>
          </w:p>
        </w:tc>
        <w:tc>
          <w:tcPr>
            <w:tcW w:w="2657"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103,6</w:t>
            </w:r>
          </w:p>
        </w:tc>
      </w:tr>
    </w:tbl>
    <w:p w:rsidR="008E3F2F" w:rsidRDefault="008E3F2F" w:rsidP="00A27C5D">
      <w:pPr>
        <w:spacing w:after="0" w:line="240" w:lineRule="auto"/>
        <w:jc w:val="center"/>
        <w:rPr>
          <w:rFonts w:ascii="Times New Roman" w:hAnsi="Times New Roman"/>
          <w:b/>
          <w:sz w:val="28"/>
          <w:szCs w:val="28"/>
        </w:rPr>
      </w:pPr>
    </w:p>
    <w:p w:rsidR="00573C90" w:rsidRDefault="00A27C5D" w:rsidP="00A27C5D">
      <w:pPr>
        <w:spacing w:after="0" w:line="240" w:lineRule="auto"/>
        <w:jc w:val="center"/>
        <w:rPr>
          <w:rFonts w:ascii="Times New Roman" w:hAnsi="Times New Roman"/>
          <w:b/>
          <w:sz w:val="28"/>
          <w:szCs w:val="28"/>
          <w:lang w:val="kk-KZ"/>
        </w:rPr>
      </w:pPr>
      <w:proofErr w:type="spellStart"/>
      <w:r w:rsidRPr="00A27C5D">
        <w:rPr>
          <w:rFonts w:ascii="Times New Roman" w:hAnsi="Times New Roman"/>
          <w:b/>
          <w:sz w:val="28"/>
          <w:szCs w:val="28"/>
        </w:rPr>
        <w:t>Ауыл</w:t>
      </w:r>
      <w:proofErr w:type="spellEnd"/>
      <w:r w:rsidRPr="00A27C5D">
        <w:rPr>
          <w:rFonts w:ascii="Times New Roman" w:hAnsi="Times New Roman"/>
          <w:b/>
          <w:sz w:val="28"/>
          <w:szCs w:val="28"/>
        </w:rPr>
        <w:t xml:space="preserve">, су, </w:t>
      </w:r>
      <w:proofErr w:type="spellStart"/>
      <w:r w:rsidRPr="00A27C5D">
        <w:rPr>
          <w:rFonts w:ascii="Times New Roman" w:hAnsi="Times New Roman"/>
          <w:b/>
          <w:sz w:val="28"/>
          <w:szCs w:val="28"/>
        </w:rPr>
        <w:t>орман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балық</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шаруашылығы</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ерекше</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қорғалатын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табиғи</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аумақтар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қоршаған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ортаны</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және</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жануарлар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дүниесін</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қорғ</w:t>
      </w:r>
      <w:proofErr w:type="gramStart"/>
      <w:r w:rsidRPr="00A27C5D">
        <w:rPr>
          <w:rFonts w:ascii="Times New Roman" w:hAnsi="Times New Roman"/>
          <w:b/>
          <w:sz w:val="28"/>
          <w:szCs w:val="28"/>
        </w:rPr>
        <w:t>ау</w:t>
      </w:r>
      <w:proofErr w:type="spellEnd"/>
      <w:proofErr w:type="gramEnd"/>
      <w:r w:rsidRPr="00A27C5D">
        <w:rPr>
          <w:rFonts w:ascii="Times New Roman" w:hAnsi="Times New Roman"/>
          <w:b/>
          <w:sz w:val="28"/>
          <w:szCs w:val="28"/>
        </w:rPr>
        <w:t xml:space="preserve">, </w:t>
      </w:r>
      <w:proofErr w:type="spellStart"/>
      <w:r w:rsidRPr="00A27C5D">
        <w:rPr>
          <w:rFonts w:ascii="Times New Roman" w:hAnsi="Times New Roman"/>
          <w:b/>
          <w:sz w:val="28"/>
          <w:szCs w:val="28"/>
        </w:rPr>
        <w:t>жер</w:t>
      </w:r>
      <w:proofErr w:type="spellEnd"/>
      <w:r w:rsidRPr="00A27C5D">
        <w:rPr>
          <w:rFonts w:ascii="Times New Roman" w:hAnsi="Times New Roman"/>
          <w:b/>
          <w:sz w:val="28"/>
          <w:szCs w:val="28"/>
        </w:rPr>
        <w:t xml:space="preserve"> </w:t>
      </w:r>
      <w:proofErr w:type="spellStart"/>
      <w:r w:rsidRPr="00A27C5D">
        <w:rPr>
          <w:rFonts w:ascii="Times New Roman" w:hAnsi="Times New Roman"/>
          <w:b/>
          <w:sz w:val="28"/>
          <w:szCs w:val="28"/>
        </w:rPr>
        <w:t>қатынастары</w:t>
      </w:r>
      <w:proofErr w:type="spellEnd"/>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sidRPr="00A27C5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Pr>
          <w:rFonts w:ascii="Times New Roman" w:hAnsi="Times New Roman"/>
          <w:sz w:val="28"/>
          <w:szCs w:val="28"/>
          <w:lang w:val="kk-KZ"/>
        </w:rPr>
        <w:t>»</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Pr="00A27C5D">
        <w:rPr>
          <w:rFonts w:ascii="Times New Roman" w:hAnsi="Times New Roman"/>
          <w:sz w:val="28"/>
          <w:szCs w:val="28"/>
          <w:lang w:val="kk-KZ"/>
        </w:rPr>
        <w:t>ығыстар 88,1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асыру үшін 126,2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пизоотияға қарсы іс-шаралар және құнын иелеріне өтеу ауыл шаруашылығы жануарларын санитарлық союға жіберілген 8,0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004447">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124,3</w:t>
            </w:r>
          </w:p>
        </w:tc>
        <w:tc>
          <w:tcPr>
            <w:tcW w:w="3119"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88,1</w:t>
            </w:r>
          </w:p>
        </w:tc>
        <w:tc>
          <w:tcPr>
            <w:tcW w:w="2657"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70,9</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w:t>
      </w:r>
      <w:proofErr w:type="gramStart"/>
      <w:r w:rsidRPr="000B0E26">
        <w:rPr>
          <w:rFonts w:ascii="Times New Roman" w:hAnsi="Times New Roman"/>
          <w:b/>
          <w:sz w:val="28"/>
          <w:szCs w:val="28"/>
        </w:rPr>
        <w:t>п</w:t>
      </w:r>
      <w:proofErr w:type="spellEnd"/>
      <w:proofErr w:type="gram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0B0E26" w:rsidRDefault="000B0E26" w:rsidP="00A27C5D">
      <w:pPr>
        <w:spacing w:after="0" w:line="240" w:lineRule="auto"/>
        <w:ind w:firstLine="708"/>
        <w:jc w:val="center"/>
        <w:rPr>
          <w:rFonts w:ascii="Times New Roman" w:hAnsi="Times New Roman"/>
          <w:b/>
          <w:sz w:val="28"/>
          <w:szCs w:val="28"/>
          <w:lang w:val="kk-KZ"/>
        </w:rPr>
      </w:pPr>
    </w:p>
    <w:p w:rsidR="008B78E4" w:rsidRDefault="000B0E26" w:rsidP="000B0E2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0B0E26">
        <w:rPr>
          <w:rFonts w:eastAsia="Calibri"/>
          <w:sz w:val="28"/>
          <w:szCs w:val="28"/>
          <w:lang w:val="kk-KZ" w:eastAsia="en-US"/>
        </w:rPr>
        <w:t>Өнеркәсіп, сәулет, қала құрылысы және құрылыс қызметі</w:t>
      </w:r>
      <w:r>
        <w:rPr>
          <w:rFonts w:eastAsia="Calibri"/>
          <w:sz w:val="28"/>
          <w:szCs w:val="28"/>
          <w:lang w:val="kk-KZ" w:eastAsia="en-US"/>
        </w:rPr>
        <w:t>» ф</w:t>
      </w:r>
      <w:r w:rsidRPr="000B0E26">
        <w:rPr>
          <w:rFonts w:eastAsia="Calibri"/>
          <w:sz w:val="28"/>
          <w:szCs w:val="28"/>
          <w:lang w:val="kk-KZ" w:eastAsia="en-US"/>
        </w:rPr>
        <w:t xml:space="preserve">ункционалдық топ бойынша  138,3 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 Қызметін қамтамасыз ету үшін, сондай-ақ нақты жоспарлау жобаларын әзірлеу.</w:t>
      </w:r>
    </w:p>
    <w:p w:rsidR="000B0E26" w:rsidRPr="000B0E26" w:rsidRDefault="000B0E26" w:rsidP="000B0E26">
      <w:pPr>
        <w:pStyle w:val="a3"/>
        <w:spacing w:before="0" w:beforeAutospacing="0" w:after="0" w:afterAutospacing="0"/>
        <w:ind w:firstLine="708"/>
        <w:jc w:val="both"/>
        <w:rPr>
          <w:rStyle w:val="a5"/>
          <w:b w:val="0"/>
          <w:sz w:val="28"/>
          <w:szCs w:val="28"/>
          <w:lang w:val="kk-KZ"/>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004447">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98,8</w:t>
            </w:r>
          </w:p>
        </w:tc>
        <w:tc>
          <w:tcPr>
            <w:tcW w:w="3119"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138,3</w:t>
            </w:r>
          </w:p>
        </w:tc>
        <w:tc>
          <w:tcPr>
            <w:tcW w:w="2657"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139,9</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w:t>
      </w:r>
      <w:proofErr w:type="gramStart"/>
      <w:r w:rsidRPr="009E6C1E">
        <w:rPr>
          <w:rFonts w:ascii="Times New Roman" w:hAnsi="Times New Roman"/>
          <w:b/>
          <w:sz w:val="28"/>
          <w:szCs w:val="28"/>
        </w:rPr>
        <w:t>к</w:t>
      </w:r>
      <w:proofErr w:type="spellEnd"/>
      <w:proofErr w:type="gram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9E6C1E" w:rsidRDefault="009E6C1E" w:rsidP="00A27C5D">
      <w:pPr>
        <w:spacing w:after="0" w:line="240" w:lineRule="auto"/>
        <w:ind w:firstLine="708"/>
        <w:jc w:val="center"/>
        <w:rPr>
          <w:rFonts w:ascii="Times New Roman" w:hAnsi="Times New Roman"/>
          <w:b/>
          <w:sz w:val="28"/>
          <w:szCs w:val="28"/>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ункционалдық топ бойынша шығыстар 2208,8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 көпірді орташа жөндеу жұмыстары және көпір</w:t>
      </w:r>
      <w:r>
        <w:rPr>
          <w:rFonts w:ascii="Times New Roman" w:hAnsi="Times New Roman"/>
          <w:sz w:val="28"/>
          <w:szCs w:val="28"/>
          <w:lang w:val="kk-KZ"/>
        </w:rPr>
        <w:t>ді</w:t>
      </w:r>
      <w:r w:rsidRPr="009E6C1E">
        <w:rPr>
          <w:rFonts w:ascii="Times New Roman" w:hAnsi="Times New Roman"/>
          <w:sz w:val="28"/>
          <w:szCs w:val="28"/>
          <w:lang w:val="kk-KZ"/>
        </w:rPr>
        <w:t xml:space="preserve"> қайта құруға ЖСҚ әзірлеу.</w:t>
      </w:r>
    </w:p>
    <w:p w:rsidR="009E6C1E"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нысаналы трансферттер 1 569,1 млн. теңге</w:t>
      </w:r>
      <w:r>
        <w:rPr>
          <w:rFonts w:ascii="Times New Roman" w:hAnsi="Times New Roman"/>
          <w:sz w:val="28"/>
          <w:szCs w:val="28"/>
          <w:lang w:val="kk-KZ"/>
        </w:rPr>
        <w:t xml:space="preserve"> сомасында қарастырылған</w:t>
      </w:r>
      <w:r w:rsidRPr="009E6C1E">
        <w:rPr>
          <w:rFonts w:ascii="Times New Roman" w:hAnsi="Times New Roman"/>
          <w:sz w:val="28"/>
          <w:szCs w:val="28"/>
          <w:lang w:val="kk-KZ"/>
        </w:rPr>
        <w:t xml:space="preserve"> (Ғабдуллин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қайта жаңарту</w:t>
      </w:r>
      <w:r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 xml:space="preserve">даңғылына </w:t>
      </w:r>
      <w:r w:rsidR="002F6B9C">
        <w:rPr>
          <w:rFonts w:ascii="Times New Roman" w:hAnsi="Times New Roman"/>
          <w:sz w:val="28"/>
          <w:szCs w:val="28"/>
          <w:lang w:val="kk-KZ"/>
        </w:rPr>
        <w:lastRenderedPageBreak/>
        <w:t>дейін</w:t>
      </w:r>
      <w:r w:rsidRPr="009E6C1E">
        <w:rPr>
          <w:rFonts w:ascii="Times New Roman" w:hAnsi="Times New Roman"/>
          <w:sz w:val="28"/>
          <w:szCs w:val="28"/>
          <w:lang w:val="kk-KZ"/>
        </w:rPr>
        <w:t xml:space="preserve"> - 401,8 млн. теңге, </w:t>
      </w:r>
      <w:r w:rsidR="002F6B9C" w:rsidRPr="009E6C1E">
        <w:rPr>
          <w:rFonts w:ascii="Times New Roman" w:hAnsi="Times New Roman"/>
          <w:sz w:val="28"/>
          <w:szCs w:val="28"/>
          <w:lang w:val="kk-KZ"/>
        </w:rPr>
        <w:t xml:space="preserve">Қылшақты өзені арқылы өтетін 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қайта жаңарту – 526,8 млн. теңге);</w:t>
      </w:r>
    </w:p>
    <w:p w:rsidR="002F6B9C"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b/>
          <w:sz w:val="28"/>
          <w:szCs w:val="28"/>
          <w:lang w:val="kk-KZ"/>
        </w:rPr>
      </w:pPr>
      <w:r w:rsidRPr="002F6B9C">
        <w:rPr>
          <w:rFonts w:ascii="Times New Roman" w:hAnsi="Times New Roman"/>
          <w:sz w:val="28"/>
          <w:szCs w:val="28"/>
          <w:lang w:val="kk-KZ"/>
        </w:rPr>
        <w:t>- Ақмола облысы Көкшетау қаласында Қопа көлі жағалауының бойындағы Кенесары</w:t>
      </w:r>
      <w:r>
        <w:rPr>
          <w:rFonts w:ascii="Times New Roman" w:hAnsi="Times New Roman"/>
          <w:sz w:val="28"/>
          <w:szCs w:val="28"/>
          <w:lang w:val="kk-KZ"/>
        </w:rPr>
        <w:t xml:space="preserve"> көшесінен бастап </w:t>
      </w:r>
      <w:r w:rsidRPr="002F6B9C">
        <w:rPr>
          <w:rFonts w:ascii="Times New Roman" w:hAnsi="Times New Roman"/>
          <w:sz w:val="28"/>
          <w:szCs w:val="28"/>
          <w:lang w:val="kk-KZ"/>
        </w:rPr>
        <w:t xml:space="preserve"> қан орталығы бұрылысына</w:t>
      </w:r>
      <w:r>
        <w:rPr>
          <w:rFonts w:ascii="Times New Roman" w:hAnsi="Times New Roman"/>
          <w:sz w:val="28"/>
          <w:szCs w:val="28"/>
          <w:lang w:val="kk-KZ"/>
        </w:rPr>
        <w:t xml:space="preserve"> </w:t>
      </w:r>
      <w:r w:rsidRPr="002F6B9C">
        <w:rPr>
          <w:rFonts w:ascii="Times New Roman" w:hAnsi="Times New Roman"/>
          <w:sz w:val="28"/>
          <w:szCs w:val="28"/>
          <w:lang w:val="kk-KZ"/>
        </w:rPr>
        <w:t xml:space="preserve"> дейін жол салу үшін ЖСҚ әзірлеуге - </w:t>
      </w:r>
      <w:r w:rsidRPr="002F6B9C">
        <w:rPr>
          <w:rFonts w:ascii="Times New Roman" w:hAnsi="Times New Roman"/>
          <w:b/>
          <w:sz w:val="28"/>
          <w:szCs w:val="28"/>
          <w:lang w:val="kk-KZ"/>
        </w:rPr>
        <w:t>43,9 млн. теңге;</w:t>
      </w:r>
    </w:p>
    <w:p w:rsidR="00075516"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F6B9C">
        <w:rPr>
          <w:rFonts w:ascii="Times New Roman" w:hAnsi="Times New Roman"/>
          <w:sz w:val="28"/>
          <w:szCs w:val="28"/>
          <w:lang w:val="kk-KZ"/>
        </w:rPr>
        <w:t xml:space="preserve">- </w:t>
      </w:r>
      <w:r w:rsidR="00075516" w:rsidRPr="002F6B9C">
        <w:rPr>
          <w:rFonts w:ascii="Times New Roman" w:hAnsi="Times New Roman"/>
          <w:sz w:val="28"/>
          <w:szCs w:val="28"/>
          <w:lang w:val="kk-KZ"/>
        </w:rPr>
        <w:t xml:space="preserve">Көкшетау қаласының </w:t>
      </w:r>
      <w:r w:rsidR="00075516">
        <w:rPr>
          <w:rFonts w:ascii="Times New Roman" w:hAnsi="Times New Roman"/>
          <w:sz w:val="28"/>
          <w:szCs w:val="28"/>
          <w:lang w:val="kk-KZ"/>
        </w:rPr>
        <w:t>көше-жол желісін</w:t>
      </w:r>
      <w:r w:rsidRPr="002F6B9C">
        <w:rPr>
          <w:rFonts w:ascii="Times New Roman" w:hAnsi="Times New Roman"/>
          <w:sz w:val="28"/>
          <w:szCs w:val="28"/>
          <w:lang w:val="kk-KZ"/>
        </w:rPr>
        <w:t xml:space="preserve"> жөндеу</w:t>
      </w:r>
      <w:r w:rsidR="00075516">
        <w:rPr>
          <w:rFonts w:ascii="Times New Roman" w:hAnsi="Times New Roman"/>
          <w:sz w:val="28"/>
          <w:szCs w:val="28"/>
          <w:lang w:val="kk-KZ"/>
        </w:rPr>
        <w:t>ге</w:t>
      </w:r>
      <w:r w:rsidRPr="002F6B9C">
        <w:rPr>
          <w:rFonts w:ascii="Times New Roman" w:hAnsi="Times New Roman"/>
          <w:sz w:val="28"/>
          <w:szCs w:val="28"/>
          <w:lang w:val="kk-KZ"/>
        </w:rPr>
        <w:t xml:space="preserve"> (Бейбітшілік к-сі, Наурызбай батыр көшесі, Вавилов)-596,5 млн. теңге.</w:t>
      </w:r>
    </w:p>
    <w:p w:rsidR="00142537" w:rsidRPr="002F6B9C" w:rsidRDefault="00142537" w:rsidP="002F6B9C">
      <w:pPr>
        <w:widowControl w:val="0"/>
        <w:pBdr>
          <w:bottom w:val="single" w:sz="4" w:space="31" w:color="FFFFFF"/>
        </w:pBdr>
        <w:tabs>
          <w:tab w:val="num" w:pos="0"/>
        </w:tabs>
        <w:autoSpaceDE w:val="0"/>
        <w:autoSpaceDN w:val="0"/>
        <w:adjustRightInd w:val="0"/>
        <w:spacing w:after="0" w:line="240" w:lineRule="auto"/>
        <w:ind w:firstLine="709"/>
        <w:jc w:val="both"/>
        <w:rPr>
          <w:rStyle w:val="a5"/>
          <w:rFonts w:ascii="Times New Roman" w:hAnsi="Times New Roman"/>
          <w:b w:val="0"/>
          <w:sz w:val="28"/>
          <w:szCs w:val="28"/>
          <w:lang w:val="kk-KZ"/>
        </w:rPr>
      </w:pPr>
      <w:r w:rsidRPr="002F6B9C">
        <w:rPr>
          <w:rStyle w:val="a5"/>
          <w:rFonts w:ascii="Times New Roman" w:hAnsi="Times New Roman"/>
          <w:b w:val="0"/>
          <w:sz w:val="28"/>
          <w:szCs w:val="28"/>
          <w:lang w:val="kk-KZ"/>
        </w:rPr>
        <w:t>Темпы роста расходов бюджета</w:t>
      </w:r>
    </w:p>
    <w:p w:rsidR="00075516" w:rsidRPr="00075516" w:rsidRDefault="00075516" w:rsidP="00075516">
      <w:pPr>
        <w:spacing w:after="0" w:line="240" w:lineRule="auto"/>
        <w:ind w:firstLine="709"/>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075516">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2060,3</w:t>
            </w:r>
          </w:p>
        </w:tc>
        <w:tc>
          <w:tcPr>
            <w:tcW w:w="3119"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2208,9</w:t>
            </w:r>
          </w:p>
        </w:tc>
        <w:tc>
          <w:tcPr>
            <w:tcW w:w="2657" w:type="dxa"/>
            <w:tcBorders>
              <w:top w:val="single" w:sz="4" w:space="0" w:color="auto"/>
              <w:left w:val="nil"/>
              <w:bottom w:val="nil"/>
              <w:right w:val="nil"/>
            </w:tcBorders>
          </w:tcPr>
          <w:p w:rsidR="00142537" w:rsidRPr="00CE4CD2" w:rsidRDefault="00142537"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107,2</w:t>
            </w:r>
          </w:p>
        </w:tc>
      </w:tr>
    </w:tbl>
    <w:p w:rsidR="00511D72" w:rsidRDefault="00573C90" w:rsidP="00A27C5D">
      <w:pPr>
        <w:spacing w:after="0" w:line="240" w:lineRule="auto"/>
        <w:ind w:firstLine="708"/>
        <w:jc w:val="both"/>
        <w:rPr>
          <w:rFonts w:ascii="Times New Roman" w:hAnsi="Times New Roman"/>
          <w:sz w:val="28"/>
          <w:szCs w:val="28"/>
        </w:rPr>
      </w:pPr>
      <w:r w:rsidRPr="00573C90">
        <w:rPr>
          <w:rFonts w:ascii="Times New Roman" w:hAnsi="Times New Roman"/>
          <w:sz w:val="28"/>
          <w:szCs w:val="28"/>
        </w:rPr>
        <w:t xml:space="preserve">                                </w:t>
      </w:r>
    </w:p>
    <w:p w:rsidR="00573C90" w:rsidRPr="00075516" w:rsidRDefault="00075516" w:rsidP="00A27C5D">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573C90" w:rsidRPr="00573C90" w:rsidRDefault="00573C90" w:rsidP="00A27C5D">
      <w:pPr>
        <w:spacing w:after="0" w:line="240" w:lineRule="auto"/>
        <w:ind w:firstLine="708"/>
        <w:jc w:val="center"/>
        <w:rPr>
          <w:rFonts w:ascii="Times New Roman" w:hAnsi="Times New Roman"/>
          <w:b/>
          <w:sz w:val="28"/>
          <w:szCs w:val="28"/>
        </w:rPr>
      </w:pP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proofErr w:type="spellStart"/>
      <w:r w:rsidRPr="00075516">
        <w:rPr>
          <w:rFonts w:eastAsia="Calibri"/>
          <w:sz w:val="28"/>
          <w:szCs w:val="28"/>
          <w:lang w:eastAsia="en-US"/>
        </w:rPr>
        <w:t>Басқа</w:t>
      </w:r>
      <w:proofErr w:type="spellEnd"/>
      <w:r>
        <w:rPr>
          <w:rFonts w:eastAsia="Calibri"/>
          <w:sz w:val="28"/>
          <w:szCs w:val="28"/>
          <w:lang w:val="kk-KZ" w:eastAsia="en-US"/>
        </w:rPr>
        <w:t>»</w:t>
      </w:r>
      <w:r w:rsidRPr="00075516">
        <w:rPr>
          <w:rFonts w:eastAsia="Calibri"/>
          <w:sz w:val="28"/>
          <w:szCs w:val="28"/>
          <w:lang w:eastAsia="en-US"/>
        </w:rPr>
        <w:t xml:space="preserve"> </w:t>
      </w:r>
      <w:r>
        <w:rPr>
          <w:rFonts w:eastAsia="Calibri"/>
          <w:sz w:val="28"/>
          <w:szCs w:val="28"/>
          <w:lang w:val="kk-KZ" w:eastAsia="en-US"/>
        </w:rPr>
        <w:t>ф</w:t>
      </w:r>
      <w:proofErr w:type="spellStart"/>
      <w:r w:rsidRPr="00075516">
        <w:rPr>
          <w:rFonts w:eastAsia="Calibri"/>
          <w:sz w:val="28"/>
          <w:szCs w:val="28"/>
          <w:lang w:eastAsia="en-US"/>
        </w:rPr>
        <w:t>ункционалдық</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тобы</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бойынша</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шығыстар</w:t>
      </w:r>
      <w:proofErr w:type="spellEnd"/>
      <w:r w:rsidRPr="00075516">
        <w:rPr>
          <w:rFonts w:eastAsia="Calibri"/>
          <w:sz w:val="28"/>
          <w:szCs w:val="28"/>
          <w:lang w:eastAsia="en-US"/>
        </w:rPr>
        <w:t xml:space="preserve"> 411,8 млн. </w:t>
      </w:r>
      <w:proofErr w:type="spellStart"/>
      <w:proofErr w:type="gramStart"/>
      <w:r w:rsidRPr="00075516">
        <w:rPr>
          <w:rFonts w:eastAsia="Calibri"/>
          <w:sz w:val="28"/>
          <w:szCs w:val="28"/>
          <w:lang w:eastAsia="en-US"/>
        </w:rPr>
        <w:t>теңге</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сомасында</w:t>
      </w:r>
      <w:proofErr w:type="spellEnd"/>
      <w:r>
        <w:rPr>
          <w:rFonts w:eastAsia="Calibri"/>
          <w:sz w:val="28"/>
          <w:szCs w:val="28"/>
          <w:lang w:val="kk-KZ" w:eastAsia="en-US"/>
        </w:rPr>
        <w:t xml:space="preserve"> қарастырылған</w:t>
      </w:r>
      <w:r w:rsidRPr="00075516">
        <w:rPr>
          <w:rFonts w:eastAsia="Calibri"/>
          <w:sz w:val="28"/>
          <w:szCs w:val="28"/>
          <w:lang w:eastAsia="en-US"/>
        </w:rPr>
        <w:t xml:space="preserve">, </w:t>
      </w:r>
      <w:proofErr w:type="spellStart"/>
      <w:r w:rsidRPr="00075516">
        <w:rPr>
          <w:rFonts w:eastAsia="Calibri"/>
          <w:sz w:val="28"/>
          <w:szCs w:val="28"/>
          <w:lang w:eastAsia="en-US"/>
        </w:rPr>
        <w:t>соның</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ішінде</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кәсіпкерлік</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бөлімі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кәсіпкерлік</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қызметті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қолдау</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жергілікті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атқарушы</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органның</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резерві</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қызметін</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қамтамасыз</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ету</w:t>
      </w:r>
      <w:proofErr w:type="spellEnd"/>
      <w:r w:rsidRPr="00075516">
        <w:rPr>
          <w:rFonts w:eastAsia="Calibri"/>
          <w:sz w:val="28"/>
          <w:szCs w:val="28"/>
          <w:lang w:eastAsia="en-US"/>
        </w:rPr>
        <w:t xml:space="preserve"> </w:t>
      </w:r>
      <w:proofErr w:type="spellStart"/>
      <w:r w:rsidRPr="00075516">
        <w:rPr>
          <w:rFonts w:eastAsia="Calibri"/>
          <w:sz w:val="28"/>
          <w:szCs w:val="28"/>
          <w:lang w:eastAsia="en-US"/>
        </w:rPr>
        <w:t>үшін</w:t>
      </w:r>
      <w:proofErr w:type="spellEnd"/>
      <w:r w:rsidRPr="00075516">
        <w:rPr>
          <w:rFonts w:eastAsia="Calibri"/>
          <w:sz w:val="28"/>
          <w:szCs w:val="28"/>
          <w:lang w:eastAsia="en-US"/>
        </w:rPr>
        <w:t>.</w:t>
      </w:r>
      <w:proofErr w:type="gramEnd"/>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004447">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E4CD2" w:rsidRDefault="00A177DC"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30 474,4</w:t>
            </w:r>
          </w:p>
        </w:tc>
        <w:tc>
          <w:tcPr>
            <w:tcW w:w="3119" w:type="dxa"/>
            <w:tcBorders>
              <w:top w:val="single" w:sz="4" w:space="0" w:color="auto"/>
              <w:left w:val="nil"/>
              <w:bottom w:val="nil"/>
              <w:right w:val="nil"/>
            </w:tcBorders>
          </w:tcPr>
          <w:p w:rsidR="00A177DC" w:rsidRPr="00CE4CD2" w:rsidRDefault="00A177DC"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33 077,1</w:t>
            </w:r>
          </w:p>
        </w:tc>
        <w:tc>
          <w:tcPr>
            <w:tcW w:w="2657" w:type="dxa"/>
            <w:tcBorders>
              <w:top w:val="single" w:sz="4" w:space="0" w:color="auto"/>
              <w:left w:val="nil"/>
              <w:bottom w:val="nil"/>
              <w:right w:val="nil"/>
            </w:tcBorders>
          </w:tcPr>
          <w:p w:rsidR="00A177DC" w:rsidRPr="00CE4CD2" w:rsidRDefault="00A177DC" w:rsidP="00A27C5D">
            <w:pPr>
              <w:spacing w:after="0" w:line="240" w:lineRule="auto"/>
              <w:jc w:val="center"/>
              <w:rPr>
                <w:rStyle w:val="a5"/>
                <w:rFonts w:ascii="Times New Roman" w:hAnsi="Times New Roman"/>
                <w:b w:val="0"/>
                <w:bCs w:val="0"/>
                <w:i/>
                <w:color w:val="000000"/>
                <w:lang w:eastAsia="ru-RU"/>
              </w:rPr>
            </w:pPr>
            <w:r>
              <w:rPr>
                <w:rStyle w:val="a5"/>
                <w:rFonts w:ascii="Times New Roman" w:hAnsi="Times New Roman"/>
                <w:b w:val="0"/>
                <w:bCs w:val="0"/>
                <w:i/>
                <w:color w:val="000000"/>
                <w:lang w:eastAsia="ru-RU"/>
              </w:rPr>
              <w:t>108,5</w:t>
            </w:r>
          </w:p>
        </w:tc>
      </w:tr>
    </w:tbl>
    <w:p w:rsidR="00AD07AF" w:rsidRPr="00F57684" w:rsidRDefault="00AD07AF" w:rsidP="00A27C5D">
      <w:pPr>
        <w:spacing w:after="0" w:line="240" w:lineRule="auto"/>
        <w:ind w:firstLine="709"/>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DD" w:rsidRDefault="00F342DD" w:rsidP="00887261">
      <w:pPr>
        <w:spacing w:after="0" w:line="240" w:lineRule="auto"/>
      </w:pPr>
      <w:r>
        <w:separator/>
      </w:r>
    </w:p>
  </w:endnote>
  <w:endnote w:type="continuationSeparator" w:id="0">
    <w:p w:rsidR="00F342DD" w:rsidRDefault="00F342DD"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77" w:rsidRDefault="00681D77">
    <w:pPr>
      <w:pStyle w:val="af"/>
      <w:jc w:val="right"/>
    </w:pPr>
    <w:r>
      <w:fldChar w:fldCharType="begin"/>
    </w:r>
    <w:r>
      <w:instrText xml:space="preserve"> PAGE   \* MERGEFORMAT </w:instrText>
    </w:r>
    <w:r>
      <w:fldChar w:fldCharType="separate"/>
    </w:r>
    <w:r w:rsidR="00A84C37">
      <w:rPr>
        <w:noProof/>
      </w:rPr>
      <w:t>10</w:t>
    </w:r>
    <w:r>
      <w:rPr>
        <w:noProof/>
      </w:rPr>
      <w:fldChar w:fldCharType="end"/>
    </w:r>
  </w:p>
  <w:p w:rsidR="00681D77" w:rsidRDefault="00681D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DD" w:rsidRDefault="00F342DD" w:rsidP="00887261">
      <w:pPr>
        <w:spacing w:after="0" w:line="240" w:lineRule="auto"/>
      </w:pPr>
      <w:r>
        <w:separator/>
      </w:r>
    </w:p>
  </w:footnote>
  <w:footnote w:type="continuationSeparator" w:id="0">
    <w:p w:rsidR="00F342DD" w:rsidRDefault="00F342DD"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3">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4">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8"/>
  </w:num>
  <w:num w:numId="4">
    <w:abstractNumId w:val="12"/>
  </w:num>
  <w:num w:numId="5">
    <w:abstractNumId w:val="11"/>
  </w:num>
  <w:num w:numId="6">
    <w:abstractNumId w:val="30"/>
  </w:num>
  <w:num w:numId="7">
    <w:abstractNumId w:val="28"/>
  </w:num>
  <w:num w:numId="8">
    <w:abstractNumId w:val="16"/>
  </w:num>
  <w:num w:numId="9">
    <w:abstractNumId w:val="29"/>
  </w:num>
  <w:num w:numId="10">
    <w:abstractNumId w:val="9"/>
  </w:num>
  <w:num w:numId="11">
    <w:abstractNumId w:val="6"/>
  </w:num>
  <w:num w:numId="12">
    <w:abstractNumId w:val="5"/>
  </w:num>
  <w:num w:numId="13">
    <w:abstractNumId w:val="37"/>
  </w:num>
  <w:num w:numId="14">
    <w:abstractNumId w:val="19"/>
  </w:num>
  <w:num w:numId="15">
    <w:abstractNumId w:val="25"/>
  </w:num>
  <w:num w:numId="16">
    <w:abstractNumId w:val="33"/>
  </w:num>
  <w:num w:numId="17">
    <w:abstractNumId w:val="24"/>
  </w:num>
  <w:num w:numId="18">
    <w:abstractNumId w:val="10"/>
  </w:num>
  <w:num w:numId="19">
    <w:abstractNumId w:val="13"/>
  </w:num>
  <w:num w:numId="20">
    <w:abstractNumId w:val="21"/>
  </w:num>
  <w:num w:numId="21">
    <w:abstractNumId w:val="26"/>
  </w:num>
  <w:num w:numId="22">
    <w:abstractNumId w:val="2"/>
  </w:num>
  <w:num w:numId="23">
    <w:abstractNumId w:val="36"/>
  </w:num>
  <w:num w:numId="24">
    <w:abstractNumId w:val="1"/>
  </w:num>
  <w:num w:numId="25">
    <w:abstractNumId w:val="17"/>
  </w:num>
  <w:num w:numId="26">
    <w:abstractNumId w:val="20"/>
  </w:num>
  <w:num w:numId="27">
    <w:abstractNumId w:val="7"/>
  </w:num>
  <w:num w:numId="28">
    <w:abstractNumId w:val="4"/>
  </w:num>
  <w:num w:numId="29">
    <w:abstractNumId w:val="27"/>
  </w:num>
  <w:num w:numId="30">
    <w:abstractNumId w:val="15"/>
  </w:num>
  <w:num w:numId="31">
    <w:abstractNumId w:val="22"/>
  </w:num>
  <w:num w:numId="32">
    <w:abstractNumId w:val="0"/>
  </w:num>
  <w:num w:numId="33">
    <w:abstractNumId w:val="34"/>
  </w:num>
  <w:num w:numId="34">
    <w:abstractNumId w:val="14"/>
  </w:num>
  <w:num w:numId="35">
    <w:abstractNumId w:val="32"/>
  </w:num>
  <w:num w:numId="36">
    <w:abstractNumId w:val="3"/>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0E26"/>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5D4"/>
    <w:rsid w:val="00CA4204"/>
    <w:rsid w:val="00CA4BC8"/>
    <w:rsid w:val="00CA5401"/>
    <w:rsid w:val="00CA6680"/>
    <w:rsid w:val="00CA6767"/>
    <w:rsid w:val="00CA6F58"/>
    <w:rsid w:val="00CA7701"/>
    <w:rsid w:val="00CA7837"/>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dPt>
          <c:dPt>
            <c:idx val="1"/>
            <c:bubble3D val="0"/>
            <c:explosion val="5"/>
          </c:dPt>
          <c:dPt>
            <c:idx val="2"/>
            <c:bubble3D val="0"/>
            <c:explosion val="4"/>
          </c:dPt>
          <c:dPt>
            <c:idx val="3"/>
            <c:bubble3D val="0"/>
            <c:explosion val="9"/>
          </c:dPt>
          <c:dPt>
            <c:idx val="5"/>
            <c:bubble3D val="0"/>
            <c:explosion val="10"/>
          </c:dPt>
          <c:dPt>
            <c:idx val="6"/>
            <c:bubble3D val="0"/>
            <c:explosion val="10"/>
          </c:dPt>
          <c:dPt>
            <c:idx val="7"/>
            <c:bubble3D val="0"/>
            <c:explosion val="9"/>
          </c:dPt>
          <c:dPt>
            <c:idx val="8"/>
            <c:bubble3D val="0"/>
            <c:explosion val="6"/>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1,3%</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0.25287</cdr:y>
    </cdr:from>
    <cdr:to>
      <cdr:x>0.80475</cdr:x>
      <cdr:y>0.43172</cdr:y>
    </cdr:to>
    <cdr:sp macro="" textlink="">
      <cdr:nvSpPr>
        <cdr:cNvPr id="6" name="TextBox 5"/>
        <cdr:cNvSpPr txBox="1"/>
      </cdr:nvSpPr>
      <cdr:spPr>
        <a:xfrm xmlns:a="http://schemas.openxmlformats.org/drawingml/2006/main">
          <a:off x="6444208" y="1584176"/>
          <a:ext cx="914400" cy="11204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21,7%</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0,9%</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0,5%</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37,4%</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30,8%</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a:t>
          </a:r>
          <a:r>
            <a:rPr lang="ru-RU" sz="1200" b="1" dirty="0" smtClean="0"/>
            <a:t>,3%</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0,4%</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6,7%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29EF-8123-4E19-AA34-D7220530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8623</TotalTime>
  <Pages>10</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933</cp:revision>
  <cp:lastPrinted>2018-01-24T06:16:00Z</cp:lastPrinted>
  <dcterms:created xsi:type="dcterms:W3CDTF">2013-01-17T21:02:00Z</dcterms:created>
  <dcterms:modified xsi:type="dcterms:W3CDTF">2018-03-15T09:25:00Z</dcterms:modified>
</cp:coreProperties>
</file>